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3"/>
        <w:gridCol w:w="645"/>
        <w:gridCol w:w="426"/>
        <w:gridCol w:w="462"/>
        <w:gridCol w:w="413"/>
        <w:gridCol w:w="207"/>
        <w:gridCol w:w="135"/>
        <w:gridCol w:w="486"/>
        <w:gridCol w:w="451"/>
        <w:gridCol w:w="139"/>
        <w:gridCol w:w="30"/>
        <w:gridCol w:w="116"/>
        <w:gridCol w:w="505"/>
        <w:gridCol w:w="148"/>
        <w:gridCol w:w="472"/>
        <w:gridCol w:w="395"/>
        <w:gridCol w:w="71"/>
        <w:gridCol w:w="155"/>
        <w:gridCol w:w="377"/>
        <w:gridCol w:w="243"/>
        <w:gridCol w:w="162"/>
        <w:gridCol w:w="326"/>
        <w:gridCol w:w="133"/>
        <w:gridCol w:w="479"/>
        <w:gridCol w:w="141"/>
        <w:gridCol w:w="621"/>
        <w:gridCol w:w="176"/>
        <w:gridCol w:w="445"/>
        <w:gridCol w:w="985"/>
        <w:gridCol w:w="13"/>
      </w:tblGrid>
      <w:tr w:rsidR="006A701A" w:rsidRPr="0066079A" w14:paraId="3279A370" w14:textId="77777777" w:rsidTr="00A87747">
        <w:trPr>
          <w:gridAfter w:val="1"/>
          <w:wAfter w:w="13" w:type="dxa"/>
          <w:trHeight w:val="1611"/>
        </w:trPr>
        <w:tc>
          <w:tcPr>
            <w:tcW w:w="6623" w:type="dxa"/>
            <w:gridSpan w:val="16"/>
          </w:tcPr>
          <w:p w14:paraId="2D99BD5A" w14:textId="77777777" w:rsidR="006A701A" w:rsidRPr="0066079A" w:rsidRDefault="006A701A" w:rsidP="00180F9D">
            <w:pPr>
              <w:spacing w:after="120" w:line="240" w:lineRule="auto"/>
              <w:rPr>
                <w:rFonts w:ascii="Times New Roman" w:hAnsi="Times New Roman"/>
                <w:color w:val="000000"/>
                <w:sz w:val="21"/>
                <w:szCs w:val="21"/>
              </w:rPr>
            </w:pPr>
            <w:bookmarkStart w:id="0" w:name="t1"/>
            <w:r w:rsidRPr="0066079A">
              <w:rPr>
                <w:rFonts w:ascii="Times New Roman" w:hAnsi="Times New Roman"/>
                <w:b/>
                <w:color w:val="000000"/>
                <w:sz w:val="21"/>
                <w:szCs w:val="21"/>
              </w:rPr>
              <w:t xml:space="preserve">Nazwa </w:t>
            </w:r>
            <w:r w:rsidR="001B75D8" w:rsidRPr="0066079A">
              <w:rPr>
                <w:rFonts w:ascii="Times New Roman" w:hAnsi="Times New Roman"/>
                <w:b/>
                <w:color w:val="000000"/>
                <w:sz w:val="21"/>
                <w:szCs w:val="21"/>
              </w:rPr>
              <w:t>projektu</w:t>
            </w:r>
          </w:p>
          <w:p w14:paraId="2E0578D2" w14:textId="585429EC" w:rsidR="006A701A" w:rsidRPr="0066079A" w:rsidRDefault="006E33F5" w:rsidP="00180F9D">
            <w:pPr>
              <w:spacing w:after="120" w:line="240" w:lineRule="auto"/>
              <w:rPr>
                <w:rFonts w:ascii="Times New Roman" w:hAnsi="Times New Roman"/>
                <w:color w:val="000000"/>
                <w:sz w:val="21"/>
                <w:szCs w:val="21"/>
              </w:rPr>
            </w:pPr>
            <w:r w:rsidRPr="0066079A">
              <w:rPr>
                <w:rFonts w:ascii="Times New Roman" w:hAnsi="Times New Roman"/>
                <w:color w:val="000000"/>
                <w:sz w:val="21"/>
                <w:szCs w:val="21"/>
              </w:rPr>
              <w:t>Projekt ustawy o bonie energetycznym oraz o zmianie niektórych innych ustaw</w:t>
            </w:r>
          </w:p>
          <w:p w14:paraId="22F8E988" w14:textId="77777777" w:rsidR="006A701A" w:rsidRPr="0066079A" w:rsidRDefault="006A701A" w:rsidP="00180F9D">
            <w:pPr>
              <w:spacing w:after="120" w:line="240" w:lineRule="auto"/>
              <w:rPr>
                <w:rFonts w:ascii="Times New Roman" w:hAnsi="Times New Roman"/>
                <w:b/>
                <w:color w:val="000000"/>
                <w:sz w:val="21"/>
                <w:szCs w:val="21"/>
              </w:rPr>
            </w:pPr>
            <w:r w:rsidRPr="0066079A">
              <w:rPr>
                <w:rFonts w:ascii="Times New Roman" w:hAnsi="Times New Roman"/>
                <w:b/>
                <w:color w:val="000000"/>
                <w:sz w:val="21"/>
                <w:szCs w:val="21"/>
              </w:rPr>
              <w:t>Ministerstwo wiodące i ministerstwa współpracujące</w:t>
            </w:r>
          </w:p>
          <w:bookmarkEnd w:id="0"/>
          <w:p w14:paraId="5955A665" w14:textId="2FD92DBC" w:rsidR="00B128F5" w:rsidRPr="0066079A" w:rsidRDefault="006E33F5" w:rsidP="00180F9D">
            <w:pPr>
              <w:spacing w:after="120" w:line="240" w:lineRule="auto"/>
              <w:rPr>
                <w:rFonts w:ascii="Times New Roman" w:hAnsi="Times New Roman"/>
                <w:color w:val="000000"/>
                <w:sz w:val="21"/>
                <w:szCs w:val="21"/>
              </w:rPr>
            </w:pPr>
            <w:r w:rsidRPr="0066079A">
              <w:rPr>
                <w:rFonts w:ascii="Times New Roman" w:hAnsi="Times New Roman"/>
                <w:color w:val="000000"/>
                <w:sz w:val="21"/>
                <w:szCs w:val="21"/>
              </w:rPr>
              <w:t>Ministerstwo Klimatu i Środowiska</w:t>
            </w:r>
          </w:p>
          <w:p w14:paraId="718A6EA8" w14:textId="77777777" w:rsidR="001B3460" w:rsidRPr="0066079A" w:rsidRDefault="001B3460" w:rsidP="00180F9D">
            <w:pPr>
              <w:spacing w:after="120" w:line="240" w:lineRule="auto"/>
              <w:rPr>
                <w:rFonts w:ascii="Times New Roman" w:hAnsi="Times New Roman"/>
                <w:b/>
                <w:sz w:val="21"/>
                <w:szCs w:val="21"/>
              </w:rPr>
            </w:pPr>
            <w:r w:rsidRPr="0066079A">
              <w:rPr>
                <w:rFonts w:ascii="Times New Roman" w:hAnsi="Times New Roman"/>
                <w:b/>
                <w:sz w:val="21"/>
                <w:szCs w:val="21"/>
              </w:rPr>
              <w:t xml:space="preserve">Osoba odpowiedzialna za projekt w randze Ministra, Sekretarza Stanu lub Podsekretarza Stanu </w:t>
            </w:r>
          </w:p>
          <w:p w14:paraId="66C4149F" w14:textId="730C3A53" w:rsidR="001B3460" w:rsidRPr="0066079A" w:rsidRDefault="006E33F5" w:rsidP="00180F9D">
            <w:pPr>
              <w:spacing w:after="120" w:line="240" w:lineRule="auto"/>
              <w:rPr>
                <w:rFonts w:ascii="Times New Roman" w:hAnsi="Times New Roman"/>
                <w:sz w:val="21"/>
                <w:szCs w:val="21"/>
              </w:rPr>
            </w:pPr>
            <w:r w:rsidRPr="0066079A">
              <w:rPr>
                <w:rFonts w:ascii="Times New Roman" w:hAnsi="Times New Roman"/>
                <w:sz w:val="21"/>
                <w:szCs w:val="21"/>
              </w:rPr>
              <w:t xml:space="preserve">Miłosz Motyka – </w:t>
            </w:r>
            <w:r w:rsidR="00B128F5" w:rsidRPr="0066079A">
              <w:rPr>
                <w:rFonts w:ascii="Times New Roman" w:hAnsi="Times New Roman"/>
                <w:sz w:val="21"/>
                <w:szCs w:val="21"/>
              </w:rPr>
              <w:t>Pods</w:t>
            </w:r>
            <w:r w:rsidRPr="0066079A">
              <w:rPr>
                <w:rFonts w:ascii="Times New Roman" w:hAnsi="Times New Roman"/>
                <w:sz w:val="21"/>
                <w:szCs w:val="21"/>
              </w:rPr>
              <w:t>ekretarz Stanu w Ministerstwie Klimatu i Środowiska</w:t>
            </w:r>
          </w:p>
          <w:p w14:paraId="0B57FFB1" w14:textId="77777777" w:rsidR="006A701A" w:rsidRPr="0066079A" w:rsidRDefault="006A701A" w:rsidP="00180F9D">
            <w:pPr>
              <w:spacing w:before="120" w:line="240" w:lineRule="auto"/>
              <w:rPr>
                <w:rFonts w:ascii="Times New Roman" w:hAnsi="Times New Roman"/>
                <w:b/>
                <w:color w:val="000000"/>
                <w:sz w:val="21"/>
                <w:szCs w:val="21"/>
              </w:rPr>
            </w:pPr>
            <w:r w:rsidRPr="0066079A">
              <w:rPr>
                <w:rFonts w:ascii="Times New Roman" w:hAnsi="Times New Roman"/>
                <w:b/>
                <w:color w:val="000000"/>
                <w:sz w:val="21"/>
                <w:szCs w:val="21"/>
              </w:rPr>
              <w:t>Kontakt do opiekuna merytorycznego projektu</w:t>
            </w:r>
          </w:p>
          <w:p w14:paraId="6EF8DAFC" w14:textId="204F41CE" w:rsidR="00B128F5" w:rsidRPr="0066079A" w:rsidRDefault="00B128F5"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t xml:space="preserve">Paweł Kozłowski </w:t>
            </w:r>
            <w:r w:rsidR="00180F9D">
              <w:rPr>
                <w:rFonts w:ascii="Times New Roman" w:hAnsi="Times New Roman"/>
                <w:color w:val="000000"/>
                <w:sz w:val="21"/>
                <w:szCs w:val="21"/>
              </w:rPr>
              <w:t>–</w:t>
            </w:r>
            <w:r w:rsidRPr="0066079A">
              <w:rPr>
                <w:rFonts w:ascii="Times New Roman" w:hAnsi="Times New Roman"/>
                <w:color w:val="000000"/>
                <w:sz w:val="21"/>
                <w:szCs w:val="21"/>
              </w:rPr>
              <w:t xml:space="preserve"> Departament Elektroenergetyki i Gazu </w:t>
            </w:r>
            <w:hyperlink r:id="rId11" w:history="1">
              <w:r w:rsidRPr="0066079A">
                <w:rPr>
                  <w:rStyle w:val="Hipercze"/>
                  <w:rFonts w:ascii="Times New Roman" w:hAnsi="Times New Roman"/>
                  <w:sz w:val="21"/>
                  <w:szCs w:val="21"/>
                </w:rPr>
                <w:t>pawel.kozlowski@klimat.gov.pl</w:t>
              </w:r>
            </w:hyperlink>
          </w:p>
        </w:tc>
        <w:tc>
          <w:tcPr>
            <w:tcW w:w="4314" w:type="dxa"/>
            <w:gridSpan w:val="13"/>
            <w:shd w:val="clear" w:color="auto" w:fill="FFFFFF"/>
          </w:tcPr>
          <w:p w14:paraId="5BF5DD52" w14:textId="778957E8" w:rsidR="001B3460" w:rsidRPr="0066079A" w:rsidRDefault="001B3460" w:rsidP="00180F9D">
            <w:pPr>
              <w:spacing w:line="240" w:lineRule="auto"/>
              <w:rPr>
                <w:rFonts w:ascii="Times New Roman" w:hAnsi="Times New Roman"/>
                <w:b/>
                <w:sz w:val="21"/>
                <w:szCs w:val="21"/>
              </w:rPr>
            </w:pPr>
            <w:r w:rsidRPr="0066079A">
              <w:rPr>
                <w:rFonts w:ascii="Times New Roman" w:hAnsi="Times New Roman"/>
                <w:b/>
                <w:sz w:val="21"/>
                <w:szCs w:val="21"/>
              </w:rPr>
              <w:t>Data sporządzenia</w:t>
            </w:r>
            <w:r w:rsidRPr="0066079A">
              <w:rPr>
                <w:rFonts w:ascii="Times New Roman" w:hAnsi="Times New Roman"/>
                <w:b/>
                <w:sz w:val="21"/>
                <w:szCs w:val="21"/>
              </w:rPr>
              <w:br/>
            </w:r>
            <w:r w:rsidR="0018440F">
              <w:rPr>
                <w:rFonts w:ascii="Times New Roman" w:hAnsi="Times New Roman"/>
                <w:sz w:val="21"/>
                <w:szCs w:val="21"/>
              </w:rPr>
              <w:t>1</w:t>
            </w:r>
            <w:r w:rsidR="00A76C7F">
              <w:rPr>
                <w:rFonts w:ascii="Times New Roman" w:hAnsi="Times New Roman"/>
                <w:sz w:val="21"/>
                <w:szCs w:val="21"/>
              </w:rPr>
              <w:t>7</w:t>
            </w:r>
            <w:r w:rsidR="000A498B" w:rsidRPr="0066079A">
              <w:rPr>
                <w:rFonts w:ascii="Times New Roman" w:hAnsi="Times New Roman"/>
                <w:sz w:val="21"/>
                <w:szCs w:val="21"/>
              </w:rPr>
              <w:t>.04.2024</w:t>
            </w:r>
          </w:p>
          <w:p w14:paraId="023882A9" w14:textId="77777777" w:rsidR="00F76884" w:rsidRPr="0066079A" w:rsidRDefault="00F76884" w:rsidP="00180F9D">
            <w:pPr>
              <w:spacing w:line="240" w:lineRule="auto"/>
              <w:rPr>
                <w:rFonts w:ascii="Times New Roman" w:hAnsi="Times New Roman"/>
                <w:b/>
                <w:sz w:val="21"/>
                <w:szCs w:val="21"/>
              </w:rPr>
            </w:pPr>
          </w:p>
          <w:p w14:paraId="4CF94823" w14:textId="77777777" w:rsidR="00F76884" w:rsidRPr="0066079A" w:rsidRDefault="00F76884" w:rsidP="00180F9D">
            <w:pPr>
              <w:spacing w:line="240" w:lineRule="auto"/>
              <w:rPr>
                <w:rFonts w:ascii="Times New Roman" w:hAnsi="Times New Roman"/>
                <w:b/>
                <w:sz w:val="21"/>
                <w:szCs w:val="21"/>
              </w:rPr>
            </w:pPr>
            <w:r w:rsidRPr="0066079A">
              <w:rPr>
                <w:rFonts w:ascii="Times New Roman" w:hAnsi="Times New Roman"/>
                <w:b/>
                <w:sz w:val="21"/>
                <w:szCs w:val="21"/>
              </w:rPr>
              <w:t xml:space="preserve">Źródło: </w:t>
            </w:r>
            <w:bookmarkStart w:id="1" w:name="Lista1"/>
          </w:p>
          <w:bookmarkEnd w:id="1"/>
          <w:p w14:paraId="547C555C" w14:textId="2B44DE21" w:rsidR="00F76884" w:rsidRPr="0066079A" w:rsidRDefault="005F5625" w:rsidP="00180F9D">
            <w:pPr>
              <w:spacing w:line="240" w:lineRule="auto"/>
              <w:rPr>
                <w:rFonts w:ascii="Times New Roman" w:hAnsi="Times New Roman"/>
                <w:sz w:val="21"/>
                <w:szCs w:val="21"/>
              </w:rPr>
            </w:pPr>
            <w:r w:rsidRPr="005F5625">
              <w:rPr>
                <w:rFonts w:ascii="Times New Roman" w:hAnsi="Times New Roman"/>
                <w:sz w:val="21"/>
                <w:szCs w:val="21"/>
              </w:rPr>
              <w:t>Decyzja PRM/RM</w:t>
            </w:r>
          </w:p>
          <w:p w14:paraId="40E393EC" w14:textId="4FB2E474" w:rsidR="006A701A" w:rsidRPr="0066079A" w:rsidRDefault="006A701A" w:rsidP="00180F9D">
            <w:pPr>
              <w:spacing w:before="120" w:line="240" w:lineRule="auto"/>
              <w:rPr>
                <w:rFonts w:ascii="Times New Roman" w:hAnsi="Times New Roman"/>
                <w:b/>
                <w:color w:val="000000"/>
                <w:sz w:val="21"/>
                <w:szCs w:val="21"/>
              </w:rPr>
            </w:pPr>
            <w:r w:rsidRPr="0066079A">
              <w:rPr>
                <w:rFonts w:ascii="Times New Roman" w:hAnsi="Times New Roman"/>
                <w:b/>
                <w:color w:val="000000"/>
                <w:sz w:val="21"/>
                <w:szCs w:val="21"/>
              </w:rPr>
              <w:t xml:space="preserve">Nr </w:t>
            </w:r>
            <w:r w:rsidR="0057668E" w:rsidRPr="0066079A">
              <w:rPr>
                <w:rFonts w:ascii="Times New Roman" w:hAnsi="Times New Roman"/>
                <w:b/>
                <w:color w:val="000000"/>
                <w:sz w:val="21"/>
                <w:szCs w:val="21"/>
              </w:rPr>
              <w:t>w</w:t>
            </w:r>
            <w:r w:rsidRPr="0066079A">
              <w:rPr>
                <w:rFonts w:ascii="Times New Roman" w:hAnsi="Times New Roman"/>
                <w:b/>
                <w:color w:val="000000"/>
                <w:sz w:val="21"/>
                <w:szCs w:val="21"/>
              </w:rPr>
              <w:t xml:space="preserve"> wykaz</w:t>
            </w:r>
            <w:r w:rsidR="0057668E" w:rsidRPr="0066079A">
              <w:rPr>
                <w:rFonts w:ascii="Times New Roman" w:hAnsi="Times New Roman"/>
                <w:b/>
                <w:color w:val="000000"/>
                <w:sz w:val="21"/>
                <w:szCs w:val="21"/>
              </w:rPr>
              <w:t>ie</w:t>
            </w:r>
            <w:r w:rsidRPr="0066079A">
              <w:rPr>
                <w:rFonts w:ascii="Times New Roman" w:hAnsi="Times New Roman"/>
                <w:b/>
                <w:color w:val="000000"/>
                <w:sz w:val="21"/>
                <w:szCs w:val="21"/>
              </w:rPr>
              <w:t xml:space="preserve"> prac </w:t>
            </w:r>
            <w:r w:rsidR="00180F9D">
              <w:rPr>
                <w:rFonts w:ascii="Times New Roman" w:hAnsi="Times New Roman"/>
                <w:b/>
                <w:color w:val="000000"/>
                <w:sz w:val="21"/>
                <w:szCs w:val="21"/>
              </w:rPr>
              <w:t>legislacyjnych</w:t>
            </w:r>
            <w:r w:rsidR="00CB59AC">
              <w:rPr>
                <w:rFonts w:ascii="Times New Roman" w:hAnsi="Times New Roman"/>
                <w:b/>
                <w:color w:val="000000"/>
                <w:sz w:val="21"/>
                <w:szCs w:val="21"/>
              </w:rPr>
              <w:t xml:space="preserve"> i programowych</w:t>
            </w:r>
            <w:r w:rsidR="00180F9D">
              <w:rPr>
                <w:rFonts w:ascii="Times New Roman" w:hAnsi="Times New Roman"/>
                <w:b/>
                <w:color w:val="000000"/>
                <w:sz w:val="21"/>
                <w:szCs w:val="21"/>
              </w:rPr>
              <w:t xml:space="preserve"> Rady Ministrów</w:t>
            </w:r>
          </w:p>
          <w:p w14:paraId="75AE94FB" w14:textId="2222029E" w:rsidR="006A701A" w:rsidRPr="0066079A" w:rsidRDefault="00180F9D" w:rsidP="00180F9D">
            <w:pPr>
              <w:spacing w:line="240" w:lineRule="auto"/>
              <w:rPr>
                <w:rFonts w:ascii="Times New Roman" w:hAnsi="Times New Roman"/>
                <w:color w:val="000000"/>
                <w:sz w:val="21"/>
                <w:szCs w:val="21"/>
              </w:rPr>
            </w:pPr>
            <w:r>
              <w:rPr>
                <w:rFonts w:ascii="Times New Roman" w:hAnsi="Times New Roman"/>
                <w:color w:val="000000"/>
                <w:sz w:val="21"/>
                <w:szCs w:val="21"/>
              </w:rPr>
              <w:t>UD44</w:t>
            </w:r>
          </w:p>
          <w:p w14:paraId="45964FA1" w14:textId="77777777" w:rsidR="006A701A" w:rsidRPr="0066079A" w:rsidRDefault="006A701A" w:rsidP="00180F9D">
            <w:pPr>
              <w:spacing w:line="240" w:lineRule="auto"/>
              <w:rPr>
                <w:rFonts w:ascii="Times New Roman" w:hAnsi="Times New Roman"/>
                <w:color w:val="000000"/>
                <w:sz w:val="21"/>
                <w:szCs w:val="21"/>
              </w:rPr>
            </w:pPr>
          </w:p>
        </w:tc>
      </w:tr>
      <w:tr w:rsidR="006A701A" w:rsidRPr="0066079A" w14:paraId="65B20E42" w14:textId="77777777" w:rsidTr="00A87747">
        <w:trPr>
          <w:gridAfter w:val="1"/>
          <w:wAfter w:w="13" w:type="dxa"/>
          <w:trHeight w:val="142"/>
        </w:trPr>
        <w:tc>
          <w:tcPr>
            <w:tcW w:w="10937" w:type="dxa"/>
            <w:gridSpan w:val="29"/>
            <w:shd w:val="clear" w:color="auto" w:fill="99CCFF"/>
          </w:tcPr>
          <w:p w14:paraId="7F7FD241" w14:textId="77777777" w:rsidR="006A701A" w:rsidRPr="0066079A" w:rsidRDefault="006A701A" w:rsidP="00180F9D">
            <w:pPr>
              <w:spacing w:line="240" w:lineRule="auto"/>
              <w:ind w:left="57"/>
              <w:jc w:val="center"/>
              <w:rPr>
                <w:rFonts w:ascii="Times New Roman" w:hAnsi="Times New Roman"/>
                <w:b/>
                <w:color w:val="FFFFFF"/>
                <w:sz w:val="21"/>
                <w:szCs w:val="21"/>
              </w:rPr>
            </w:pPr>
            <w:r w:rsidRPr="0066079A">
              <w:rPr>
                <w:rFonts w:ascii="Times New Roman" w:hAnsi="Times New Roman"/>
                <w:b/>
                <w:color w:val="FFFFFF"/>
                <w:sz w:val="21"/>
                <w:szCs w:val="21"/>
              </w:rPr>
              <w:t>OCENA SKUTKÓW REGULACJI</w:t>
            </w:r>
          </w:p>
        </w:tc>
      </w:tr>
      <w:tr w:rsidR="006A701A" w:rsidRPr="0066079A" w14:paraId="13FB6F71" w14:textId="77777777" w:rsidTr="00A87747">
        <w:trPr>
          <w:gridAfter w:val="1"/>
          <w:wAfter w:w="13" w:type="dxa"/>
          <w:trHeight w:val="333"/>
        </w:trPr>
        <w:tc>
          <w:tcPr>
            <w:tcW w:w="10937" w:type="dxa"/>
            <w:gridSpan w:val="29"/>
            <w:shd w:val="clear" w:color="auto" w:fill="99CCFF"/>
            <w:vAlign w:val="center"/>
          </w:tcPr>
          <w:p w14:paraId="7AD9E38C" w14:textId="77777777" w:rsidR="006A701A" w:rsidRPr="0066079A" w:rsidRDefault="003D12F6" w:rsidP="00180F9D">
            <w:pPr>
              <w:numPr>
                <w:ilvl w:val="0"/>
                <w:numId w:val="3"/>
              </w:numPr>
              <w:spacing w:before="60" w:after="60" w:line="240" w:lineRule="auto"/>
              <w:ind w:left="318" w:hanging="284"/>
              <w:jc w:val="both"/>
              <w:rPr>
                <w:rFonts w:ascii="Times New Roman" w:hAnsi="Times New Roman"/>
                <w:b/>
                <w:color w:val="000000"/>
                <w:sz w:val="21"/>
                <w:szCs w:val="21"/>
              </w:rPr>
            </w:pPr>
            <w:r w:rsidRPr="0066079A">
              <w:rPr>
                <w:rFonts w:ascii="Times New Roman" w:hAnsi="Times New Roman"/>
                <w:b/>
                <w:sz w:val="21"/>
                <w:szCs w:val="21"/>
              </w:rPr>
              <w:t xml:space="preserve">Jaki problem jest </w:t>
            </w:r>
            <w:r w:rsidR="00CC6305" w:rsidRPr="0066079A">
              <w:rPr>
                <w:rFonts w:ascii="Times New Roman" w:hAnsi="Times New Roman"/>
                <w:b/>
                <w:sz w:val="21"/>
                <w:szCs w:val="21"/>
              </w:rPr>
              <w:t>rozwiązywany?</w:t>
            </w:r>
            <w:bookmarkStart w:id="2" w:name="Wybór1"/>
            <w:bookmarkEnd w:id="2"/>
          </w:p>
        </w:tc>
      </w:tr>
      <w:tr w:rsidR="006A701A" w:rsidRPr="0066079A" w14:paraId="35D0080A" w14:textId="77777777" w:rsidTr="00A87747">
        <w:trPr>
          <w:gridAfter w:val="1"/>
          <w:wAfter w:w="13" w:type="dxa"/>
          <w:trHeight w:val="142"/>
        </w:trPr>
        <w:tc>
          <w:tcPr>
            <w:tcW w:w="10937" w:type="dxa"/>
            <w:gridSpan w:val="29"/>
            <w:shd w:val="clear" w:color="auto" w:fill="FFFFFF"/>
          </w:tcPr>
          <w:p w14:paraId="2FEF0603" w14:textId="286543E6" w:rsidR="006E33F5" w:rsidRPr="0066079A" w:rsidRDefault="006E33F5" w:rsidP="00180F9D">
            <w:pPr>
              <w:spacing w:after="120" w:line="240" w:lineRule="auto"/>
              <w:jc w:val="both"/>
              <w:rPr>
                <w:rFonts w:ascii="Times New Roman" w:hAnsi="Times New Roman"/>
                <w:color w:val="000000"/>
                <w:sz w:val="21"/>
                <w:szCs w:val="21"/>
              </w:rPr>
            </w:pPr>
            <w:r w:rsidRPr="0066079A">
              <w:rPr>
                <w:rFonts w:ascii="Times New Roman" w:hAnsi="Times New Roman"/>
                <w:color w:val="000000"/>
                <w:sz w:val="21"/>
                <w:szCs w:val="21"/>
              </w:rPr>
              <w:t>Pomimo stabilizacji na europejskim i</w:t>
            </w:r>
            <w:r w:rsidR="008756EB" w:rsidRPr="0066079A">
              <w:rPr>
                <w:rFonts w:ascii="Times New Roman" w:hAnsi="Times New Roman"/>
                <w:color w:val="000000"/>
                <w:sz w:val="21"/>
                <w:szCs w:val="21"/>
              </w:rPr>
              <w:t> </w:t>
            </w:r>
            <w:r w:rsidRPr="0066079A">
              <w:rPr>
                <w:rFonts w:ascii="Times New Roman" w:hAnsi="Times New Roman"/>
                <w:color w:val="000000"/>
                <w:sz w:val="21"/>
                <w:szCs w:val="21"/>
              </w:rPr>
              <w:t xml:space="preserve">światowym rynku energii, skutki kryzysu energetycznego nadal są odczuwalne przez </w:t>
            </w:r>
            <w:r w:rsidR="00431C0C" w:rsidRPr="0066079A">
              <w:rPr>
                <w:rFonts w:ascii="Times New Roman" w:hAnsi="Times New Roman"/>
                <w:color w:val="000000"/>
                <w:sz w:val="21"/>
                <w:szCs w:val="21"/>
              </w:rPr>
              <w:t>społeczeństwo</w:t>
            </w:r>
            <w:r w:rsidRPr="0066079A">
              <w:rPr>
                <w:rFonts w:ascii="Times New Roman" w:hAnsi="Times New Roman"/>
                <w:color w:val="000000"/>
                <w:sz w:val="21"/>
                <w:szCs w:val="21"/>
              </w:rPr>
              <w:t xml:space="preserve">. </w:t>
            </w:r>
            <w:r w:rsidR="00BD014B" w:rsidRPr="0066079A">
              <w:rPr>
                <w:rFonts w:ascii="Times New Roman" w:hAnsi="Times New Roman"/>
                <w:color w:val="000000"/>
                <w:sz w:val="21"/>
                <w:szCs w:val="21"/>
              </w:rPr>
              <w:t>Dlatego w</w:t>
            </w:r>
            <w:r w:rsidRPr="0066079A">
              <w:rPr>
                <w:rFonts w:ascii="Times New Roman" w:hAnsi="Times New Roman"/>
                <w:color w:val="000000"/>
                <w:sz w:val="21"/>
                <w:szCs w:val="21"/>
              </w:rPr>
              <w:t xml:space="preserve"> </w:t>
            </w:r>
            <w:r w:rsidR="007C109F" w:rsidRPr="0066079A">
              <w:rPr>
                <w:rFonts w:ascii="Times New Roman" w:hAnsi="Times New Roman"/>
                <w:color w:val="000000"/>
                <w:sz w:val="21"/>
                <w:szCs w:val="21"/>
              </w:rPr>
              <w:t xml:space="preserve">okresie pierwszej połowy </w:t>
            </w:r>
            <w:r w:rsidRPr="0066079A">
              <w:rPr>
                <w:rFonts w:ascii="Times New Roman" w:hAnsi="Times New Roman"/>
                <w:color w:val="000000"/>
                <w:sz w:val="21"/>
                <w:szCs w:val="21"/>
              </w:rPr>
              <w:t xml:space="preserve">2024 roku ponownie wprowadzono rozwiązania niwelujące skutki wzrostu cen </w:t>
            </w:r>
            <w:r w:rsidR="007E1C91">
              <w:rPr>
                <w:rFonts w:ascii="Times New Roman" w:hAnsi="Times New Roman"/>
                <w:color w:val="000000"/>
                <w:sz w:val="21"/>
                <w:szCs w:val="21"/>
              </w:rPr>
              <w:t xml:space="preserve">energii elektrycznej, paliw gazowych i ciepła </w:t>
            </w:r>
            <w:r w:rsidRPr="0066079A">
              <w:rPr>
                <w:rFonts w:ascii="Times New Roman" w:hAnsi="Times New Roman"/>
                <w:color w:val="000000"/>
                <w:sz w:val="21"/>
                <w:szCs w:val="21"/>
              </w:rPr>
              <w:t xml:space="preserve">poprzez </w:t>
            </w:r>
            <w:r w:rsidR="00BD014B" w:rsidRPr="0066079A">
              <w:rPr>
                <w:rFonts w:ascii="Times New Roman" w:hAnsi="Times New Roman"/>
                <w:color w:val="000000"/>
                <w:sz w:val="21"/>
                <w:szCs w:val="21"/>
              </w:rPr>
              <w:t>przepisy</w:t>
            </w:r>
            <w:r w:rsidRPr="0066079A">
              <w:rPr>
                <w:rFonts w:ascii="Times New Roman" w:hAnsi="Times New Roman"/>
                <w:color w:val="000000"/>
                <w:sz w:val="21"/>
                <w:szCs w:val="21"/>
              </w:rPr>
              <w:t xml:space="preserve"> ustawy z dnia 7 grudnia 2023 r. o zmianie ustaw w celu wsparcia odbiorców energii elektrycznej, paliw gazowych i ciepła oraz niektórych innych ustaw (Dz. U. </w:t>
            </w:r>
            <w:r w:rsidR="006973D1">
              <w:rPr>
                <w:rFonts w:ascii="Times New Roman" w:hAnsi="Times New Roman"/>
                <w:color w:val="000000"/>
                <w:sz w:val="21"/>
                <w:szCs w:val="21"/>
              </w:rPr>
              <w:t xml:space="preserve">z </w:t>
            </w:r>
            <w:r w:rsidRPr="0066079A">
              <w:rPr>
                <w:rFonts w:ascii="Times New Roman" w:hAnsi="Times New Roman"/>
                <w:color w:val="000000"/>
                <w:sz w:val="21"/>
                <w:szCs w:val="21"/>
              </w:rPr>
              <w:t>2023</w:t>
            </w:r>
            <w:r w:rsidR="006973D1">
              <w:rPr>
                <w:rFonts w:ascii="Times New Roman" w:hAnsi="Times New Roman"/>
                <w:color w:val="000000"/>
                <w:sz w:val="21"/>
                <w:szCs w:val="21"/>
              </w:rPr>
              <w:t xml:space="preserve"> r.</w:t>
            </w:r>
            <w:r w:rsidRPr="0066079A">
              <w:rPr>
                <w:rFonts w:ascii="Times New Roman" w:hAnsi="Times New Roman"/>
                <w:color w:val="000000"/>
                <w:sz w:val="21"/>
                <w:szCs w:val="21"/>
              </w:rPr>
              <w:t xml:space="preserve"> poz. 2760)</w:t>
            </w:r>
            <w:r w:rsidR="00BD014B" w:rsidRPr="0066079A">
              <w:rPr>
                <w:rFonts w:ascii="Times New Roman" w:hAnsi="Times New Roman"/>
                <w:color w:val="000000"/>
                <w:sz w:val="21"/>
                <w:szCs w:val="21"/>
              </w:rPr>
              <w:t xml:space="preserve">. </w:t>
            </w:r>
          </w:p>
          <w:p w14:paraId="7FC67142" w14:textId="4030F65A" w:rsidR="006E33F5" w:rsidRPr="0066079A" w:rsidRDefault="008543D3" w:rsidP="00180F9D">
            <w:pPr>
              <w:spacing w:after="120" w:line="240" w:lineRule="auto"/>
              <w:jc w:val="both"/>
              <w:rPr>
                <w:rFonts w:ascii="Times New Roman" w:hAnsi="Times New Roman"/>
                <w:color w:val="000000"/>
                <w:sz w:val="21"/>
                <w:szCs w:val="21"/>
              </w:rPr>
            </w:pPr>
            <w:r w:rsidRPr="0066079A">
              <w:rPr>
                <w:rFonts w:ascii="Times New Roman" w:hAnsi="Times New Roman"/>
                <w:color w:val="000000"/>
                <w:sz w:val="21"/>
                <w:szCs w:val="21"/>
              </w:rPr>
              <w:t>Obecna o</w:t>
            </w:r>
            <w:r w:rsidR="00BD014B" w:rsidRPr="0066079A">
              <w:rPr>
                <w:rFonts w:ascii="Times New Roman" w:hAnsi="Times New Roman"/>
                <w:color w:val="000000"/>
                <w:sz w:val="21"/>
                <w:szCs w:val="21"/>
              </w:rPr>
              <w:t xml:space="preserve">bserwacja sytuacji wskazuje na </w:t>
            </w:r>
            <w:r w:rsidRPr="0066079A">
              <w:rPr>
                <w:rFonts w:ascii="Times New Roman" w:hAnsi="Times New Roman"/>
                <w:color w:val="000000"/>
                <w:sz w:val="21"/>
                <w:szCs w:val="21"/>
              </w:rPr>
              <w:t>zasadność</w:t>
            </w:r>
            <w:r w:rsidR="00BD014B" w:rsidRPr="0066079A">
              <w:rPr>
                <w:rFonts w:ascii="Times New Roman" w:hAnsi="Times New Roman"/>
                <w:color w:val="000000"/>
                <w:sz w:val="21"/>
                <w:szCs w:val="21"/>
              </w:rPr>
              <w:t xml:space="preserve"> odchodzenia od </w:t>
            </w:r>
            <w:r w:rsidRPr="0066079A">
              <w:rPr>
                <w:rFonts w:ascii="Times New Roman" w:hAnsi="Times New Roman"/>
                <w:color w:val="000000"/>
                <w:sz w:val="21"/>
                <w:szCs w:val="21"/>
              </w:rPr>
              <w:t xml:space="preserve">stosowania </w:t>
            </w:r>
            <w:r w:rsidR="00BD014B" w:rsidRPr="0066079A">
              <w:rPr>
                <w:rFonts w:ascii="Times New Roman" w:hAnsi="Times New Roman"/>
                <w:color w:val="000000"/>
                <w:sz w:val="21"/>
                <w:szCs w:val="21"/>
              </w:rPr>
              <w:t>mechanizmów interwencyjnych</w:t>
            </w:r>
            <w:r w:rsidRPr="0066079A">
              <w:rPr>
                <w:rFonts w:ascii="Times New Roman" w:hAnsi="Times New Roman"/>
                <w:color w:val="000000"/>
                <w:sz w:val="21"/>
                <w:szCs w:val="21"/>
              </w:rPr>
              <w:t xml:space="preserve"> i powracania do modelu funkcjonowania rynku energii </w:t>
            </w:r>
            <w:r w:rsidR="007E1C91">
              <w:rPr>
                <w:rFonts w:ascii="Times New Roman" w:hAnsi="Times New Roman"/>
                <w:color w:val="000000"/>
                <w:sz w:val="21"/>
                <w:szCs w:val="21"/>
              </w:rPr>
              <w:t>s</w:t>
            </w:r>
            <w:r w:rsidRPr="0066079A">
              <w:rPr>
                <w:rFonts w:ascii="Times New Roman" w:hAnsi="Times New Roman"/>
                <w:color w:val="000000"/>
                <w:sz w:val="21"/>
                <w:szCs w:val="21"/>
              </w:rPr>
              <w:t>przed kryzysu.</w:t>
            </w:r>
            <w:r w:rsidR="00BD014B" w:rsidRPr="0066079A">
              <w:rPr>
                <w:rFonts w:ascii="Times New Roman" w:hAnsi="Times New Roman"/>
                <w:color w:val="000000"/>
                <w:sz w:val="21"/>
                <w:szCs w:val="21"/>
              </w:rPr>
              <w:t xml:space="preserve"> Niemniej</w:t>
            </w:r>
            <w:r w:rsidR="00055CCA">
              <w:rPr>
                <w:rFonts w:ascii="Times New Roman" w:hAnsi="Times New Roman"/>
                <w:color w:val="000000"/>
                <w:sz w:val="21"/>
                <w:szCs w:val="21"/>
              </w:rPr>
              <w:t>,</w:t>
            </w:r>
            <w:r w:rsidR="00BD014B" w:rsidRPr="0066079A">
              <w:rPr>
                <w:rFonts w:ascii="Times New Roman" w:hAnsi="Times New Roman"/>
                <w:color w:val="000000"/>
                <w:sz w:val="21"/>
                <w:szCs w:val="21"/>
              </w:rPr>
              <w:t xml:space="preserve"> </w:t>
            </w:r>
            <w:r w:rsidRPr="0066079A">
              <w:rPr>
                <w:rFonts w:ascii="Times New Roman" w:hAnsi="Times New Roman"/>
                <w:color w:val="000000"/>
                <w:sz w:val="21"/>
                <w:szCs w:val="21"/>
              </w:rPr>
              <w:t>odchodzenie</w:t>
            </w:r>
            <w:r w:rsidR="007E1C91">
              <w:rPr>
                <w:rFonts w:ascii="Times New Roman" w:hAnsi="Times New Roman"/>
                <w:color w:val="000000"/>
                <w:sz w:val="21"/>
                <w:szCs w:val="21"/>
              </w:rPr>
              <w:t xml:space="preserve"> od wsparcia odbiorców energii elektrycznej, paliw gazowych i ciepła</w:t>
            </w:r>
            <w:r w:rsidRPr="0066079A">
              <w:rPr>
                <w:rFonts w:ascii="Times New Roman" w:hAnsi="Times New Roman"/>
                <w:color w:val="000000"/>
                <w:sz w:val="21"/>
                <w:szCs w:val="21"/>
              </w:rPr>
              <w:t xml:space="preserve"> musi być realizowane w sposób stopniowy, uwzględniający przede wszystkim sytuację gospodarstw domowych, które w największym stopniu odczuwają</w:t>
            </w:r>
            <w:r w:rsidR="006E33F5" w:rsidRPr="0066079A">
              <w:rPr>
                <w:rFonts w:ascii="Times New Roman" w:hAnsi="Times New Roman"/>
                <w:color w:val="000000"/>
                <w:sz w:val="21"/>
                <w:szCs w:val="21"/>
              </w:rPr>
              <w:t xml:space="preserve"> wzrost rachunków</w:t>
            </w:r>
            <w:r w:rsidRPr="0066079A">
              <w:rPr>
                <w:rFonts w:ascii="Times New Roman" w:hAnsi="Times New Roman"/>
                <w:color w:val="000000"/>
                <w:sz w:val="21"/>
                <w:szCs w:val="21"/>
              </w:rPr>
              <w:t xml:space="preserve"> za </w:t>
            </w:r>
            <w:r w:rsidR="007E1C91">
              <w:rPr>
                <w:rFonts w:ascii="Times New Roman" w:hAnsi="Times New Roman"/>
                <w:color w:val="000000"/>
                <w:sz w:val="21"/>
                <w:szCs w:val="21"/>
              </w:rPr>
              <w:t>te media</w:t>
            </w:r>
            <w:r w:rsidRPr="0066079A">
              <w:rPr>
                <w:rFonts w:ascii="Times New Roman" w:hAnsi="Times New Roman"/>
                <w:color w:val="000000"/>
                <w:sz w:val="21"/>
                <w:szCs w:val="21"/>
              </w:rPr>
              <w:t>.</w:t>
            </w:r>
            <w:r w:rsidR="006E33F5" w:rsidRPr="0066079A">
              <w:rPr>
                <w:rFonts w:ascii="Times New Roman" w:hAnsi="Times New Roman"/>
                <w:color w:val="000000"/>
                <w:sz w:val="21"/>
                <w:szCs w:val="21"/>
              </w:rPr>
              <w:t xml:space="preserve"> </w:t>
            </w:r>
            <w:r w:rsidR="007C109F" w:rsidRPr="0066079A">
              <w:rPr>
                <w:rFonts w:ascii="Times New Roman" w:hAnsi="Times New Roman"/>
                <w:color w:val="000000"/>
                <w:sz w:val="21"/>
                <w:szCs w:val="21"/>
              </w:rPr>
              <w:t xml:space="preserve">Z tego powodu proponuje się wprowadzenie </w:t>
            </w:r>
            <w:r w:rsidR="00645972">
              <w:rPr>
                <w:rFonts w:ascii="Times New Roman" w:hAnsi="Times New Roman"/>
                <w:color w:val="000000"/>
                <w:sz w:val="21"/>
                <w:szCs w:val="21"/>
              </w:rPr>
              <w:t xml:space="preserve">zmodyfikowanych </w:t>
            </w:r>
            <w:r w:rsidR="007C109F" w:rsidRPr="0066079A">
              <w:rPr>
                <w:rFonts w:ascii="Times New Roman" w:hAnsi="Times New Roman"/>
                <w:color w:val="000000"/>
                <w:sz w:val="21"/>
                <w:szCs w:val="21"/>
              </w:rPr>
              <w:t xml:space="preserve">działań osłonowych </w:t>
            </w:r>
            <w:r w:rsidR="00645972">
              <w:rPr>
                <w:rFonts w:ascii="Times New Roman" w:hAnsi="Times New Roman"/>
                <w:color w:val="000000"/>
                <w:sz w:val="21"/>
                <w:szCs w:val="21"/>
              </w:rPr>
              <w:t>dla energii elektrycznej i paliw gazowych również na</w:t>
            </w:r>
            <w:r w:rsidR="007C109F" w:rsidRPr="0066079A">
              <w:rPr>
                <w:rFonts w:ascii="Times New Roman" w:hAnsi="Times New Roman"/>
                <w:color w:val="000000"/>
                <w:sz w:val="21"/>
                <w:szCs w:val="21"/>
              </w:rPr>
              <w:t xml:space="preserve"> drugą połowę 2024 r.</w:t>
            </w:r>
            <w:r w:rsidR="00645972">
              <w:rPr>
                <w:rFonts w:ascii="Times New Roman" w:hAnsi="Times New Roman"/>
                <w:color w:val="000000"/>
                <w:sz w:val="21"/>
                <w:szCs w:val="21"/>
              </w:rPr>
              <w:t xml:space="preserve">, a dla </w:t>
            </w:r>
            <w:r w:rsidR="00F03778">
              <w:rPr>
                <w:rFonts w:ascii="Times New Roman" w:hAnsi="Times New Roman"/>
                <w:color w:val="000000"/>
                <w:sz w:val="21"/>
                <w:szCs w:val="21"/>
              </w:rPr>
              <w:t>ciepła</w:t>
            </w:r>
            <w:r w:rsidR="00645972">
              <w:rPr>
                <w:rFonts w:ascii="Times New Roman" w:hAnsi="Times New Roman"/>
                <w:color w:val="000000"/>
                <w:sz w:val="21"/>
                <w:szCs w:val="21"/>
              </w:rPr>
              <w:t xml:space="preserve"> - obejmujących drugą połowę 2024 r. i </w:t>
            </w:r>
            <w:r w:rsidR="00F03778">
              <w:rPr>
                <w:rFonts w:ascii="Times New Roman" w:hAnsi="Times New Roman"/>
                <w:color w:val="000000"/>
                <w:sz w:val="21"/>
                <w:szCs w:val="21"/>
              </w:rPr>
              <w:t xml:space="preserve">pierwszą połowę 2025 r. </w:t>
            </w:r>
          </w:p>
          <w:p w14:paraId="1699FA60" w14:textId="77777777" w:rsidR="00F94288" w:rsidRDefault="00202765" w:rsidP="00180F9D">
            <w:pPr>
              <w:spacing w:after="120" w:line="240" w:lineRule="auto"/>
              <w:jc w:val="both"/>
              <w:rPr>
                <w:rFonts w:ascii="Times New Roman" w:hAnsi="Times New Roman"/>
                <w:sz w:val="21"/>
                <w:szCs w:val="21"/>
              </w:rPr>
            </w:pPr>
            <w:r w:rsidRPr="0066079A">
              <w:rPr>
                <w:rFonts w:ascii="Times New Roman" w:hAnsi="Times New Roman"/>
                <w:sz w:val="21"/>
                <w:szCs w:val="21"/>
              </w:rPr>
              <w:t>Dodatkowo, a</w:t>
            </w:r>
            <w:r w:rsidR="00F94288" w:rsidRPr="0066079A">
              <w:rPr>
                <w:rFonts w:ascii="Times New Roman" w:hAnsi="Times New Roman"/>
                <w:sz w:val="21"/>
                <w:szCs w:val="21"/>
              </w:rPr>
              <w:t xml:space="preserve">naliza funkcjonowania w 2023 r. </w:t>
            </w:r>
            <w:r w:rsidR="00645972">
              <w:rPr>
                <w:rFonts w:ascii="Times New Roman" w:hAnsi="Times New Roman"/>
                <w:sz w:val="21"/>
                <w:szCs w:val="21"/>
              </w:rPr>
              <w:t xml:space="preserve">wcześniejszych </w:t>
            </w:r>
            <w:r w:rsidR="00F94288" w:rsidRPr="0066079A">
              <w:rPr>
                <w:rFonts w:ascii="Times New Roman" w:hAnsi="Times New Roman"/>
                <w:sz w:val="21"/>
                <w:szCs w:val="21"/>
              </w:rPr>
              <w:t>systemów wsparcia odbiorców, uwzględniająca praktyczne doświadczenia realizacji działania systemu rekompensat i rozliczeń finansowych (gdzie szczególnie cenne obserwacje były możliwe do przeprowadzenia dopiero pod koniec roku kalendarzowego) zidentyfikowała obszary, które wymagają usprawnienia i</w:t>
            </w:r>
            <w:r w:rsidR="007A06C5" w:rsidRPr="0066079A">
              <w:rPr>
                <w:rFonts w:ascii="Times New Roman" w:hAnsi="Times New Roman"/>
                <w:sz w:val="21"/>
                <w:szCs w:val="21"/>
              </w:rPr>
              <w:t> </w:t>
            </w:r>
            <w:r w:rsidR="00F94288" w:rsidRPr="0066079A">
              <w:rPr>
                <w:rFonts w:ascii="Times New Roman" w:hAnsi="Times New Roman"/>
                <w:sz w:val="21"/>
                <w:szCs w:val="21"/>
              </w:rPr>
              <w:t>doprecyzowania. W konsekwencji, zasadnym jest zmodyfikowanie przepisów ustaw wprowadzających mechanizmy ochronne i wprowadzenie dostosowań</w:t>
            </w:r>
            <w:r w:rsidRPr="0066079A">
              <w:rPr>
                <w:rFonts w:ascii="Times New Roman" w:hAnsi="Times New Roman"/>
                <w:sz w:val="21"/>
                <w:szCs w:val="21"/>
              </w:rPr>
              <w:t xml:space="preserve"> zaproponowanych w projekcie</w:t>
            </w:r>
            <w:r w:rsidR="00F94288" w:rsidRPr="0066079A">
              <w:rPr>
                <w:rFonts w:ascii="Times New Roman" w:hAnsi="Times New Roman"/>
                <w:sz w:val="21"/>
                <w:szCs w:val="21"/>
              </w:rPr>
              <w:t>, zasadniczo o charakterze technicznym, pozwalających na skuteczną i sprawną realizację przepisów ustaw, zarówno w zakresie mechanizmów funkcjonujących w 2023 r jak i tych funkcjonujących w</w:t>
            </w:r>
            <w:r w:rsidR="007A06C5" w:rsidRPr="0066079A">
              <w:rPr>
                <w:rFonts w:ascii="Times New Roman" w:hAnsi="Times New Roman"/>
                <w:sz w:val="21"/>
                <w:szCs w:val="21"/>
              </w:rPr>
              <w:t> </w:t>
            </w:r>
            <w:r w:rsidR="00F94288" w:rsidRPr="0066079A">
              <w:rPr>
                <w:rFonts w:ascii="Times New Roman" w:hAnsi="Times New Roman"/>
                <w:sz w:val="21"/>
                <w:szCs w:val="21"/>
              </w:rPr>
              <w:t>2024 r.</w:t>
            </w:r>
          </w:p>
          <w:p w14:paraId="7D836BEB" w14:textId="3BA43DAE" w:rsidR="008C2F37" w:rsidRPr="0066079A" w:rsidRDefault="008C2F37" w:rsidP="00180F9D">
            <w:pPr>
              <w:spacing w:after="120" w:line="240" w:lineRule="auto"/>
              <w:jc w:val="both"/>
              <w:rPr>
                <w:rFonts w:ascii="Times New Roman" w:hAnsi="Times New Roman"/>
                <w:color w:val="000000"/>
                <w:sz w:val="21"/>
                <w:szCs w:val="21"/>
              </w:rPr>
            </w:pPr>
            <w:r w:rsidRPr="003B62DC">
              <w:rPr>
                <w:rFonts w:ascii="Times New Roman" w:hAnsi="Times New Roman"/>
                <w:sz w:val="21"/>
                <w:szCs w:val="21"/>
              </w:rPr>
              <w:t>R</w:t>
            </w:r>
            <w:r w:rsidRPr="003B62DC">
              <w:rPr>
                <w:rFonts w:ascii="Times New Roman" w:hAnsi="Times New Roman"/>
                <w:color w:val="000000"/>
                <w:sz w:val="21"/>
                <w:szCs w:val="21"/>
              </w:rPr>
              <w:t xml:space="preserve">ozważano alternatywne rozwiązanie problemu, w tym rezygnację z interwencji legislacyjnej, jednakże </w:t>
            </w:r>
            <w:r w:rsidRPr="00136490">
              <w:rPr>
                <w:rFonts w:ascii="Times New Roman" w:hAnsi="Times New Roman"/>
                <w:color w:val="000000"/>
                <w:spacing w:val="-2"/>
                <w:sz w:val="21"/>
                <w:szCs w:val="21"/>
              </w:rPr>
              <w:t>nie jest możliwe osiągnięcie celu w postaci zapewnienia wsparcia odbiorcom końcowym za pomocą innych środków niż zaproponowana ingerencja w obowiązujący system prawny.</w:t>
            </w:r>
          </w:p>
        </w:tc>
      </w:tr>
      <w:tr w:rsidR="006A701A" w:rsidRPr="0066079A" w14:paraId="5C346E5F" w14:textId="77777777" w:rsidTr="00A87747">
        <w:trPr>
          <w:gridAfter w:val="1"/>
          <w:wAfter w:w="13" w:type="dxa"/>
          <w:trHeight w:val="142"/>
        </w:trPr>
        <w:tc>
          <w:tcPr>
            <w:tcW w:w="10937" w:type="dxa"/>
            <w:gridSpan w:val="29"/>
            <w:shd w:val="clear" w:color="auto" w:fill="99CCFF"/>
            <w:vAlign w:val="center"/>
          </w:tcPr>
          <w:p w14:paraId="08D1303E" w14:textId="77777777" w:rsidR="006A701A" w:rsidRPr="0066079A" w:rsidRDefault="0013216E" w:rsidP="00180F9D">
            <w:pPr>
              <w:numPr>
                <w:ilvl w:val="0"/>
                <w:numId w:val="3"/>
              </w:numPr>
              <w:spacing w:before="60" w:after="60" w:line="240" w:lineRule="auto"/>
              <w:ind w:left="318" w:hanging="284"/>
              <w:jc w:val="both"/>
              <w:rPr>
                <w:rFonts w:ascii="Times New Roman" w:hAnsi="Times New Roman"/>
                <w:b/>
                <w:color w:val="000000"/>
                <w:sz w:val="21"/>
                <w:szCs w:val="21"/>
              </w:rPr>
            </w:pPr>
            <w:r w:rsidRPr="0066079A">
              <w:rPr>
                <w:rFonts w:ascii="Times New Roman" w:hAnsi="Times New Roman"/>
                <w:b/>
                <w:color w:val="000000"/>
                <w:spacing w:val="-2"/>
                <w:sz w:val="21"/>
                <w:szCs w:val="21"/>
              </w:rPr>
              <w:t>Rekomendowane rozwiązanie, w tym planowane narzędzia interwencji, i oczekiwany efekt</w:t>
            </w:r>
          </w:p>
        </w:tc>
      </w:tr>
      <w:tr w:rsidR="006A701A" w:rsidRPr="0066079A" w14:paraId="3CAC8FF0" w14:textId="77777777" w:rsidTr="00A87747">
        <w:trPr>
          <w:gridAfter w:val="1"/>
          <w:wAfter w:w="13" w:type="dxa"/>
          <w:trHeight w:val="142"/>
        </w:trPr>
        <w:tc>
          <w:tcPr>
            <w:tcW w:w="10937" w:type="dxa"/>
            <w:gridSpan w:val="29"/>
            <w:shd w:val="clear" w:color="auto" w:fill="auto"/>
          </w:tcPr>
          <w:p w14:paraId="26532E76" w14:textId="41F23132" w:rsidR="009B4369" w:rsidRPr="0066079A" w:rsidRDefault="009B4369" w:rsidP="00180F9D">
            <w:pPr>
              <w:spacing w:after="120" w:line="240" w:lineRule="auto"/>
              <w:jc w:val="both"/>
              <w:rPr>
                <w:rFonts w:ascii="Times New Roman" w:hAnsi="Times New Roman"/>
                <w:b/>
                <w:bCs/>
                <w:color w:val="000000"/>
                <w:spacing w:val="-2"/>
                <w:sz w:val="21"/>
                <w:szCs w:val="21"/>
              </w:rPr>
            </w:pPr>
            <w:r w:rsidRPr="0066079A">
              <w:rPr>
                <w:rFonts w:ascii="Times New Roman" w:hAnsi="Times New Roman"/>
                <w:b/>
                <w:bCs/>
                <w:color w:val="000000"/>
                <w:spacing w:val="-2"/>
                <w:sz w:val="21"/>
                <w:szCs w:val="21"/>
              </w:rPr>
              <w:t>Bon energetyczny</w:t>
            </w:r>
          </w:p>
          <w:p w14:paraId="2994FC54" w14:textId="444E5E54" w:rsidR="006E33F5" w:rsidRPr="0066079A" w:rsidRDefault="006E33F5" w:rsidP="00180F9D">
            <w:pPr>
              <w:spacing w:after="120" w:line="240" w:lineRule="auto"/>
              <w:jc w:val="both"/>
              <w:rPr>
                <w:rFonts w:ascii="Times New Roman" w:hAnsi="Times New Roman"/>
                <w:color w:val="000000"/>
                <w:spacing w:val="-2"/>
                <w:sz w:val="21"/>
                <w:szCs w:val="21"/>
              </w:rPr>
            </w:pPr>
            <w:r w:rsidRPr="0066079A">
              <w:rPr>
                <w:rFonts w:ascii="Times New Roman" w:hAnsi="Times New Roman"/>
                <w:color w:val="000000"/>
                <w:spacing w:val="-2"/>
                <w:sz w:val="21"/>
                <w:szCs w:val="21"/>
              </w:rPr>
              <w:t xml:space="preserve">W proponowanym brzmieniu przepisów ustawy bon energetyczny będzie świadczeniem pieniężnym dla gospodarstw domowych, których dochody nie przekraczają </w:t>
            </w:r>
            <w:r w:rsidR="00D3738C">
              <w:rPr>
                <w:rFonts w:ascii="Times New Roman" w:hAnsi="Times New Roman"/>
                <w:color w:val="000000"/>
                <w:spacing w:val="-2"/>
                <w:sz w:val="21"/>
                <w:szCs w:val="21"/>
              </w:rPr>
              <w:t>2500</w:t>
            </w:r>
            <w:r w:rsidRPr="0066079A">
              <w:rPr>
                <w:rFonts w:ascii="Times New Roman" w:hAnsi="Times New Roman"/>
                <w:color w:val="000000"/>
                <w:spacing w:val="-2"/>
                <w:sz w:val="21"/>
                <w:szCs w:val="21"/>
              </w:rPr>
              <w:t xml:space="preserve"> zł na osobę w gospodarstwie jednoosobowym albo </w:t>
            </w:r>
            <w:r w:rsidR="00D3738C">
              <w:rPr>
                <w:rFonts w:ascii="Times New Roman" w:hAnsi="Times New Roman"/>
                <w:color w:val="000000"/>
                <w:spacing w:val="-2"/>
                <w:sz w:val="21"/>
                <w:szCs w:val="21"/>
              </w:rPr>
              <w:t>1700</w:t>
            </w:r>
            <w:r w:rsidRPr="0066079A">
              <w:rPr>
                <w:rFonts w:ascii="Times New Roman" w:hAnsi="Times New Roman"/>
                <w:color w:val="000000"/>
                <w:spacing w:val="-2"/>
                <w:sz w:val="21"/>
                <w:szCs w:val="21"/>
              </w:rPr>
              <w:t xml:space="preserve"> zł na osobę w</w:t>
            </w:r>
            <w:r w:rsidR="00A94E89" w:rsidRPr="0066079A">
              <w:rPr>
                <w:rFonts w:ascii="Times New Roman" w:hAnsi="Times New Roman"/>
                <w:color w:val="000000"/>
                <w:spacing w:val="-2"/>
                <w:sz w:val="21"/>
                <w:szCs w:val="21"/>
              </w:rPr>
              <w:t> </w:t>
            </w:r>
            <w:r w:rsidRPr="0066079A">
              <w:rPr>
                <w:rFonts w:ascii="Times New Roman" w:hAnsi="Times New Roman"/>
                <w:color w:val="000000"/>
                <w:spacing w:val="-2"/>
                <w:sz w:val="21"/>
                <w:szCs w:val="21"/>
              </w:rPr>
              <w:t>gospodarstwie wieloosobowym.</w:t>
            </w:r>
          </w:p>
          <w:p w14:paraId="53A0F29D" w14:textId="44DC1F20" w:rsidR="006E33F5" w:rsidRPr="0066079A" w:rsidRDefault="006E33F5" w:rsidP="00180F9D">
            <w:pPr>
              <w:spacing w:after="120" w:line="240" w:lineRule="auto"/>
              <w:jc w:val="both"/>
              <w:rPr>
                <w:rFonts w:ascii="Times New Roman" w:hAnsi="Times New Roman"/>
                <w:color w:val="000000"/>
                <w:spacing w:val="-2"/>
                <w:sz w:val="21"/>
                <w:szCs w:val="21"/>
              </w:rPr>
            </w:pPr>
            <w:r w:rsidRPr="0066079A">
              <w:rPr>
                <w:rFonts w:ascii="Times New Roman" w:hAnsi="Times New Roman"/>
                <w:color w:val="000000"/>
                <w:spacing w:val="-2"/>
                <w:sz w:val="21"/>
                <w:szCs w:val="21"/>
              </w:rPr>
              <w:t>Bon energetyczny będzie przyznawany na podstawie kryteriów dochodowych, co pozwoli prawidłowo oszacować koszty całego systemu.</w:t>
            </w:r>
            <w:r w:rsidR="005821E9" w:rsidRPr="0066079A">
              <w:rPr>
                <w:rFonts w:ascii="Times New Roman" w:hAnsi="Times New Roman"/>
                <w:color w:val="000000"/>
                <w:spacing w:val="-2"/>
                <w:sz w:val="21"/>
                <w:szCs w:val="21"/>
              </w:rPr>
              <w:t xml:space="preserve"> </w:t>
            </w:r>
            <w:r w:rsidRPr="0066079A">
              <w:rPr>
                <w:rFonts w:ascii="Times New Roman" w:hAnsi="Times New Roman"/>
                <w:color w:val="000000"/>
                <w:spacing w:val="-2"/>
                <w:sz w:val="21"/>
                <w:szCs w:val="21"/>
              </w:rPr>
              <w:t xml:space="preserve">Jednocześnie obowiązywać będzie tzw. zasada złotówka za złotówkę co oznacza, iż bon energetyczny będzie przyznawany nawet po przekroczeniu kryterium dochodowego, a kwota bonu będzie pomniejszana o kwotę tego przekroczenia. Minimalna kwota wypłacanych bonów energetycznych będzie wynosić 20 zł. Poniżej 20 zł kwota bonu energetycznego nie będzie wypłacana. </w:t>
            </w:r>
          </w:p>
          <w:p w14:paraId="6088518B" w14:textId="60AC6B36" w:rsidR="006E33F5" w:rsidRPr="0066079A" w:rsidRDefault="006E33F5" w:rsidP="00180F9D">
            <w:pPr>
              <w:spacing w:after="120" w:line="240" w:lineRule="auto"/>
              <w:jc w:val="both"/>
              <w:rPr>
                <w:rFonts w:ascii="Times New Roman" w:hAnsi="Times New Roman"/>
                <w:color w:val="000000"/>
                <w:spacing w:val="-2"/>
                <w:sz w:val="21"/>
                <w:szCs w:val="21"/>
              </w:rPr>
            </w:pPr>
            <w:r w:rsidRPr="0066079A">
              <w:rPr>
                <w:rFonts w:ascii="Times New Roman" w:hAnsi="Times New Roman"/>
                <w:color w:val="000000"/>
                <w:spacing w:val="-2"/>
                <w:sz w:val="21"/>
                <w:szCs w:val="21"/>
              </w:rPr>
              <w:t xml:space="preserve">Mimo zawieszenia dodatku energetycznego na mocy przepisów ustawy z dnia 17 grudnia 2021 r o dodatku osłonowym (Dz. U. </w:t>
            </w:r>
            <w:r w:rsidR="00055CCA">
              <w:rPr>
                <w:rFonts w:ascii="Times New Roman" w:hAnsi="Times New Roman"/>
                <w:color w:val="000000"/>
                <w:spacing w:val="-2"/>
                <w:sz w:val="21"/>
                <w:szCs w:val="21"/>
              </w:rPr>
              <w:t>z 2023 r. poz. 759</w:t>
            </w:r>
            <w:r w:rsidR="00DE7D5A">
              <w:rPr>
                <w:rFonts w:ascii="Times New Roman" w:hAnsi="Times New Roman"/>
                <w:color w:val="000000"/>
                <w:spacing w:val="-2"/>
                <w:sz w:val="21"/>
                <w:szCs w:val="21"/>
              </w:rPr>
              <w:t xml:space="preserve">, z </w:t>
            </w:r>
            <w:proofErr w:type="spellStart"/>
            <w:r w:rsidR="00DE7D5A">
              <w:rPr>
                <w:rFonts w:ascii="Times New Roman" w:hAnsi="Times New Roman"/>
                <w:color w:val="000000"/>
                <w:spacing w:val="-2"/>
                <w:sz w:val="21"/>
                <w:szCs w:val="21"/>
              </w:rPr>
              <w:t>późn</w:t>
            </w:r>
            <w:proofErr w:type="spellEnd"/>
            <w:r w:rsidR="00DE7D5A">
              <w:rPr>
                <w:rFonts w:ascii="Times New Roman" w:hAnsi="Times New Roman"/>
                <w:color w:val="000000"/>
                <w:spacing w:val="-2"/>
                <w:sz w:val="21"/>
                <w:szCs w:val="21"/>
              </w:rPr>
              <w:t>. zm.</w:t>
            </w:r>
            <w:r w:rsidRPr="0066079A">
              <w:rPr>
                <w:rFonts w:ascii="Times New Roman" w:hAnsi="Times New Roman"/>
                <w:color w:val="000000"/>
                <w:spacing w:val="-2"/>
                <w:sz w:val="21"/>
                <w:szCs w:val="21"/>
              </w:rPr>
              <w:t>) beneficjentami bonu energetycznego będą nie tylko gospodarstwa domowe o niskich dochodach ale również odbiorcy wrażliwi energii elektrycznej oraz te domostwa, które dziś z uwagi na nadmetraż przypadający na osobę w</w:t>
            </w:r>
            <w:r w:rsidR="00560FE5" w:rsidRPr="0066079A">
              <w:rPr>
                <w:rFonts w:ascii="Times New Roman" w:hAnsi="Times New Roman"/>
                <w:color w:val="000000"/>
                <w:spacing w:val="-2"/>
                <w:sz w:val="21"/>
                <w:szCs w:val="21"/>
              </w:rPr>
              <w:t> </w:t>
            </w:r>
            <w:r w:rsidRPr="0066079A">
              <w:rPr>
                <w:rFonts w:ascii="Times New Roman" w:hAnsi="Times New Roman"/>
                <w:color w:val="000000"/>
                <w:spacing w:val="-2"/>
                <w:sz w:val="21"/>
                <w:szCs w:val="21"/>
              </w:rPr>
              <w:t>zamieszkiwanym lokalu, zostały wykluczone z przyznania dodatku mieszkaniowego w</w:t>
            </w:r>
            <w:r w:rsidR="008756EB" w:rsidRPr="0066079A">
              <w:rPr>
                <w:rFonts w:ascii="Times New Roman" w:hAnsi="Times New Roman"/>
                <w:color w:val="000000"/>
                <w:spacing w:val="-2"/>
                <w:sz w:val="21"/>
                <w:szCs w:val="21"/>
              </w:rPr>
              <w:t> </w:t>
            </w:r>
            <w:r w:rsidRPr="0066079A">
              <w:rPr>
                <w:rFonts w:ascii="Times New Roman" w:hAnsi="Times New Roman"/>
                <w:color w:val="000000"/>
                <w:spacing w:val="-2"/>
                <w:sz w:val="21"/>
                <w:szCs w:val="21"/>
              </w:rPr>
              <w:t>rozumieniu przepisów ustawy z</w:t>
            </w:r>
            <w:r w:rsidR="00560FE5" w:rsidRPr="0066079A">
              <w:rPr>
                <w:rFonts w:ascii="Times New Roman" w:hAnsi="Times New Roman"/>
                <w:color w:val="000000"/>
                <w:spacing w:val="-2"/>
                <w:sz w:val="21"/>
                <w:szCs w:val="21"/>
              </w:rPr>
              <w:t> </w:t>
            </w:r>
            <w:r w:rsidRPr="0066079A">
              <w:rPr>
                <w:rFonts w:ascii="Times New Roman" w:hAnsi="Times New Roman"/>
                <w:color w:val="000000"/>
                <w:spacing w:val="-2"/>
                <w:sz w:val="21"/>
                <w:szCs w:val="21"/>
              </w:rPr>
              <w:t>dnia 21</w:t>
            </w:r>
            <w:r w:rsidR="00A94E89" w:rsidRPr="0066079A">
              <w:rPr>
                <w:rFonts w:ascii="Times New Roman" w:hAnsi="Times New Roman"/>
                <w:color w:val="000000"/>
                <w:spacing w:val="-2"/>
                <w:sz w:val="21"/>
                <w:szCs w:val="21"/>
              </w:rPr>
              <w:t> </w:t>
            </w:r>
            <w:r w:rsidRPr="0066079A">
              <w:rPr>
                <w:rFonts w:ascii="Times New Roman" w:hAnsi="Times New Roman"/>
                <w:color w:val="000000"/>
                <w:spacing w:val="-2"/>
                <w:sz w:val="21"/>
                <w:szCs w:val="21"/>
              </w:rPr>
              <w:t xml:space="preserve">czerwca 2001 r. o dodatkach mieszkaniowych (Dz. U. z 2023 r., poz. 1335). Dotyczyć to będzie w szczególności odbiorców wrażliwych energii elektrycznej samotnie zamieszkujących domy jednorodzinne w małych miejscowościach i na wsiach, w trudnej sytuacji materialnej. </w:t>
            </w:r>
          </w:p>
          <w:p w14:paraId="68AD1989" w14:textId="54D23FDC" w:rsidR="006E33F5" w:rsidRPr="0066079A" w:rsidRDefault="006E33F5" w:rsidP="00180F9D">
            <w:pPr>
              <w:spacing w:after="120" w:line="240" w:lineRule="auto"/>
              <w:jc w:val="both"/>
              <w:rPr>
                <w:rFonts w:ascii="Times New Roman" w:hAnsi="Times New Roman"/>
                <w:color w:val="000000"/>
                <w:spacing w:val="-2"/>
                <w:sz w:val="21"/>
                <w:szCs w:val="21"/>
              </w:rPr>
            </w:pPr>
            <w:r w:rsidRPr="0066079A">
              <w:rPr>
                <w:rFonts w:ascii="Times New Roman" w:hAnsi="Times New Roman"/>
                <w:color w:val="000000"/>
                <w:spacing w:val="-2"/>
                <w:sz w:val="21"/>
                <w:szCs w:val="21"/>
              </w:rPr>
              <w:t>Przyjęte kryteria dochodowe bonu energetycznego pozwolą w drugiej połowie 2024 roku objąć wsparciem różne grupy beneficjentów, którzy z różnych przyczyn mają trudności w pokrywaniu rachunków za energię elektryczną. Jak w</w:t>
            </w:r>
            <w:r w:rsidR="008756EB" w:rsidRPr="0066079A">
              <w:rPr>
                <w:rFonts w:ascii="Times New Roman" w:hAnsi="Times New Roman"/>
                <w:color w:val="000000"/>
                <w:spacing w:val="-2"/>
                <w:sz w:val="21"/>
                <w:szCs w:val="21"/>
              </w:rPr>
              <w:t> </w:t>
            </w:r>
            <w:r w:rsidRPr="0066079A">
              <w:rPr>
                <w:rFonts w:ascii="Times New Roman" w:hAnsi="Times New Roman"/>
                <w:color w:val="000000"/>
                <w:spacing w:val="-2"/>
                <w:sz w:val="21"/>
                <w:szCs w:val="21"/>
              </w:rPr>
              <w:t>przypadku dodatku osłonowego, bonem energetycznym zostaną objęci emeryci ze świadczeniem poniżej minimalnej emerytury czy emeryci i</w:t>
            </w:r>
            <w:r w:rsidR="008864F6" w:rsidRPr="0066079A">
              <w:rPr>
                <w:rFonts w:ascii="Times New Roman" w:hAnsi="Times New Roman"/>
                <w:color w:val="000000"/>
                <w:spacing w:val="-2"/>
                <w:sz w:val="21"/>
                <w:szCs w:val="21"/>
              </w:rPr>
              <w:t xml:space="preserve"> </w:t>
            </w:r>
            <w:r w:rsidRPr="0066079A">
              <w:rPr>
                <w:rFonts w:ascii="Times New Roman" w:hAnsi="Times New Roman"/>
                <w:color w:val="000000"/>
                <w:spacing w:val="-2"/>
                <w:sz w:val="21"/>
                <w:szCs w:val="21"/>
              </w:rPr>
              <w:t xml:space="preserve">renciści ze świadczeniem równym najniższej emeryturze. Świadczenie pozwoli częściowo pokryć płatności z tytułu energii elektrycznej tym odbiorcom, którzy ze względu na niskie dochody są zagrożeni ubóstwem energetycznym, w zakresie, w jakim </w:t>
            </w:r>
            <w:r w:rsidRPr="0066079A">
              <w:rPr>
                <w:rFonts w:ascii="Times New Roman" w:hAnsi="Times New Roman"/>
                <w:color w:val="000000"/>
                <w:spacing w:val="-2"/>
                <w:sz w:val="21"/>
                <w:szCs w:val="21"/>
              </w:rPr>
              <w:lastRenderedPageBreak/>
              <w:t xml:space="preserve">ubóstwo energetyczne pokrywa się z ubóstwem dochodowym. </w:t>
            </w:r>
            <w:r w:rsidR="009B4369" w:rsidRPr="0066079A">
              <w:rPr>
                <w:rFonts w:ascii="Times New Roman" w:hAnsi="Times New Roman"/>
                <w:color w:val="000000"/>
                <w:spacing w:val="-2"/>
                <w:sz w:val="21"/>
                <w:szCs w:val="21"/>
              </w:rPr>
              <w:t xml:space="preserve">Podwyższonym </w:t>
            </w:r>
            <w:r w:rsidRPr="0066079A">
              <w:rPr>
                <w:rFonts w:ascii="Times New Roman" w:hAnsi="Times New Roman"/>
                <w:color w:val="000000"/>
                <w:spacing w:val="-2"/>
                <w:sz w:val="21"/>
                <w:szCs w:val="21"/>
              </w:rPr>
              <w:t xml:space="preserve">wsparciem zostaną objęci ci obywatele, którzy zdecydowali się przejść na ekologiczne źródła ogrzewania, zasilane energią elektryczną, jak np. pompy ciepła. </w:t>
            </w:r>
          </w:p>
          <w:p w14:paraId="53B98704" w14:textId="77777777" w:rsidR="006E33F5" w:rsidRPr="0066079A" w:rsidRDefault="006E33F5" w:rsidP="00180F9D">
            <w:pPr>
              <w:spacing w:after="120" w:line="240" w:lineRule="auto"/>
              <w:jc w:val="both"/>
              <w:rPr>
                <w:rFonts w:ascii="Times New Roman" w:hAnsi="Times New Roman"/>
                <w:color w:val="000000"/>
                <w:spacing w:val="-2"/>
                <w:sz w:val="21"/>
                <w:szCs w:val="21"/>
              </w:rPr>
            </w:pPr>
            <w:r w:rsidRPr="0066079A">
              <w:rPr>
                <w:rFonts w:ascii="Times New Roman" w:hAnsi="Times New Roman"/>
                <w:color w:val="000000"/>
                <w:spacing w:val="-2"/>
                <w:sz w:val="21"/>
                <w:szCs w:val="21"/>
              </w:rPr>
              <w:t xml:space="preserve">Należy zaznaczyć, iż zaproponowane kryteria dochodowe obejmą także beneficjentów pomocy socjalnej, którzy są zagrożeni ubóstwem energetycznym. Niskie dochody tych osób wpływają bezpośrednio na jakość ich życia i sprawiają, że ciężko im funkcjonować w społeczeństwie ze względu na sytuację finansowo-materialną. Bardzo często takie osoby mają problem nie tylko z opłacaniem rachunków za energię elektryczną, ale także z zaspokojeniem innych podstawowych potrzeb życiowych, niezbędnych do prawidłowego funkcjonowania (żywność, ubrania, leki). Pomoc w postaci przyznania osobom spełniającym założone kryteria dochodowe bonu energetycznego, wpłynie pozytywnie na ich budżety i zwiększy nie tylko ich poczucie bezpieczeństwa, ale również ułatwi dostęp do podstawowej usługi użyteczności publicznej jaką jest energia elektryczna. </w:t>
            </w:r>
          </w:p>
          <w:p w14:paraId="0F7D9406" w14:textId="2C6E5481" w:rsidR="006E33F5" w:rsidRPr="0066079A" w:rsidRDefault="006E33F5" w:rsidP="00180F9D">
            <w:pPr>
              <w:spacing w:after="120" w:line="240" w:lineRule="auto"/>
              <w:jc w:val="both"/>
              <w:rPr>
                <w:rFonts w:ascii="Times New Roman" w:hAnsi="Times New Roman"/>
                <w:color w:val="000000"/>
                <w:spacing w:val="-2"/>
                <w:sz w:val="21"/>
                <w:szCs w:val="21"/>
              </w:rPr>
            </w:pPr>
            <w:r w:rsidRPr="0066079A">
              <w:rPr>
                <w:rFonts w:ascii="Times New Roman" w:hAnsi="Times New Roman"/>
                <w:color w:val="000000"/>
                <w:spacing w:val="-2"/>
                <w:sz w:val="21"/>
                <w:szCs w:val="21"/>
              </w:rPr>
              <w:t>Za przyjmowanie i rozpatrywanie wniosków o wypłatę bonów energetycznych odpowiedzialne będą gminy. Zgodnie z</w:t>
            </w:r>
            <w:r w:rsidR="008756EB" w:rsidRPr="0066079A">
              <w:rPr>
                <w:rFonts w:ascii="Times New Roman" w:hAnsi="Times New Roman"/>
                <w:color w:val="000000"/>
                <w:spacing w:val="-2"/>
                <w:sz w:val="21"/>
                <w:szCs w:val="21"/>
              </w:rPr>
              <w:t> </w:t>
            </w:r>
            <w:r w:rsidRPr="0066079A">
              <w:rPr>
                <w:rFonts w:ascii="Times New Roman" w:hAnsi="Times New Roman"/>
                <w:color w:val="000000"/>
                <w:spacing w:val="-2"/>
                <w:sz w:val="21"/>
                <w:szCs w:val="21"/>
              </w:rPr>
              <w:t>ustawą z</w:t>
            </w:r>
            <w:r w:rsidR="00A94E89" w:rsidRPr="0066079A">
              <w:rPr>
                <w:rFonts w:ascii="Times New Roman" w:hAnsi="Times New Roman"/>
                <w:color w:val="000000"/>
                <w:spacing w:val="-2"/>
                <w:sz w:val="21"/>
                <w:szCs w:val="21"/>
              </w:rPr>
              <w:t> </w:t>
            </w:r>
            <w:r w:rsidRPr="0066079A">
              <w:rPr>
                <w:rFonts w:ascii="Times New Roman" w:hAnsi="Times New Roman"/>
                <w:color w:val="000000"/>
                <w:spacing w:val="-2"/>
                <w:sz w:val="21"/>
                <w:szCs w:val="21"/>
              </w:rPr>
              <w:t>dnia 8 marca 1990 r. o samorządzie gminnym (Dz. U. z 2023 r., poz. 40, 572,1463, 1688), do załatwiania indywidualnych spraw z</w:t>
            </w:r>
            <w:r w:rsidR="00A94E89" w:rsidRPr="0066079A">
              <w:rPr>
                <w:rFonts w:ascii="Times New Roman" w:hAnsi="Times New Roman"/>
                <w:color w:val="000000"/>
                <w:spacing w:val="-2"/>
                <w:sz w:val="21"/>
                <w:szCs w:val="21"/>
              </w:rPr>
              <w:t> </w:t>
            </w:r>
            <w:r w:rsidRPr="0066079A">
              <w:rPr>
                <w:rFonts w:ascii="Times New Roman" w:hAnsi="Times New Roman"/>
                <w:color w:val="000000"/>
                <w:spacing w:val="-2"/>
                <w:sz w:val="21"/>
                <w:szCs w:val="21"/>
              </w:rPr>
              <w:t xml:space="preserve">zakresu administracji publicznej, m.in. wypłaty przedmiotowego dodatku, upoważnione mogą być również inne organy. W tym celu gminom przysługiwać będzie </w:t>
            </w:r>
            <w:r w:rsidR="009A52B7">
              <w:rPr>
                <w:rFonts w:ascii="Times New Roman" w:hAnsi="Times New Roman"/>
                <w:color w:val="000000"/>
                <w:spacing w:val="-2"/>
                <w:sz w:val="21"/>
                <w:szCs w:val="21"/>
              </w:rPr>
              <w:t>2</w:t>
            </w:r>
            <w:r w:rsidRPr="0066079A">
              <w:rPr>
                <w:rFonts w:ascii="Times New Roman" w:hAnsi="Times New Roman"/>
                <w:color w:val="000000"/>
                <w:spacing w:val="-2"/>
                <w:sz w:val="21"/>
                <w:szCs w:val="21"/>
              </w:rPr>
              <w:t xml:space="preserve">% wartości wypłaconych świadczeń na poczet obsługi ustawowego zadania. </w:t>
            </w:r>
          </w:p>
          <w:p w14:paraId="08DF5F46" w14:textId="44DA41D1" w:rsidR="00F819BC" w:rsidRPr="0066079A" w:rsidRDefault="00F819BC" w:rsidP="00180F9D">
            <w:pPr>
              <w:spacing w:after="120" w:line="240" w:lineRule="auto"/>
              <w:jc w:val="both"/>
              <w:rPr>
                <w:rFonts w:ascii="Times New Roman" w:hAnsi="Times New Roman"/>
                <w:color w:val="000000"/>
                <w:spacing w:val="-2"/>
                <w:sz w:val="21"/>
                <w:szCs w:val="21"/>
              </w:rPr>
            </w:pPr>
            <w:r w:rsidRPr="0066079A">
              <w:rPr>
                <w:rFonts w:ascii="Times New Roman" w:hAnsi="Times New Roman"/>
                <w:color w:val="000000"/>
                <w:spacing w:val="-2"/>
                <w:sz w:val="21"/>
                <w:szCs w:val="21"/>
              </w:rPr>
              <w:t xml:space="preserve">Wzór wniosku o wypłatę bonu energetycznego będzie udostępniany przez ministra właściwego do spraw energii w Biuletynie Informacji Publicznej na stronie podmiotowej obsługującego go urzędu. Zapewni to gminom jednolity wzór wniosku, bez konieczności przygotowywania ich samodzielnie. </w:t>
            </w:r>
          </w:p>
          <w:p w14:paraId="1DD0A311" w14:textId="035614D3" w:rsidR="008864F6" w:rsidRPr="0066079A" w:rsidRDefault="006E33F5" w:rsidP="00180F9D">
            <w:pPr>
              <w:spacing w:after="120" w:line="240" w:lineRule="auto"/>
              <w:jc w:val="both"/>
              <w:rPr>
                <w:rFonts w:ascii="Times New Roman" w:hAnsi="Times New Roman"/>
                <w:color w:val="000000"/>
                <w:spacing w:val="-2"/>
                <w:sz w:val="21"/>
                <w:szCs w:val="21"/>
              </w:rPr>
            </w:pPr>
            <w:r w:rsidRPr="0066079A">
              <w:rPr>
                <w:rFonts w:ascii="Times New Roman" w:hAnsi="Times New Roman"/>
                <w:color w:val="000000"/>
                <w:spacing w:val="-2"/>
                <w:sz w:val="21"/>
                <w:szCs w:val="21"/>
              </w:rPr>
              <w:t>Operacyjnie wdrażane zmiany nie będą wymagały nowych procedur. Weryfikacja progów dochodowych odbywa się już dzisiaj w</w:t>
            </w:r>
            <w:r w:rsidR="00A94E89" w:rsidRPr="0066079A">
              <w:rPr>
                <w:rFonts w:ascii="Times New Roman" w:hAnsi="Times New Roman"/>
                <w:color w:val="000000"/>
                <w:spacing w:val="-2"/>
                <w:sz w:val="21"/>
                <w:szCs w:val="21"/>
              </w:rPr>
              <w:t> </w:t>
            </w:r>
            <w:r w:rsidRPr="0066079A">
              <w:rPr>
                <w:rFonts w:ascii="Times New Roman" w:hAnsi="Times New Roman"/>
                <w:color w:val="000000"/>
                <w:spacing w:val="-2"/>
                <w:sz w:val="21"/>
                <w:szCs w:val="21"/>
              </w:rPr>
              <w:t>gminach przy weryfikacji uprawnień beneficjentów do dodatku osłonowego, kwalifikacji do wsparcia w ramach Programu Czyste Powietrze (zmienią się jedynie wysokości weryfikowanych progów dochodowych)</w:t>
            </w:r>
            <w:r w:rsidR="009B4369" w:rsidRPr="0066079A">
              <w:rPr>
                <w:rFonts w:ascii="Times New Roman" w:hAnsi="Times New Roman"/>
                <w:color w:val="000000"/>
                <w:spacing w:val="-2"/>
                <w:sz w:val="21"/>
                <w:szCs w:val="21"/>
              </w:rPr>
              <w:t>.</w:t>
            </w:r>
          </w:p>
          <w:p w14:paraId="4FB063BA" w14:textId="77777777" w:rsidR="009B4369" w:rsidRPr="0066079A" w:rsidRDefault="009B4369" w:rsidP="00180F9D">
            <w:pPr>
              <w:spacing w:after="120" w:line="240" w:lineRule="auto"/>
              <w:jc w:val="both"/>
              <w:rPr>
                <w:rFonts w:ascii="Times New Roman" w:hAnsi="Times New Roman"/>
                <w:b/>
                <w:bCs/>
                <w:color w:val="000000"/>
                <w:sz w:val="21"/>
                <w:szCs w:val="21"/>
              </w:rPr>
            </w:pPr>
            <w:r w:rsidRPr="0066079A">
              <w:rPr>
                <w:rFonts w:ascii="Times New Roman" w:hAnsi="Times New Roman"/>
                <w:b/>
                <w:bCs/>
                <w:color w:val="000000"/>
                <w:sz w:val="21"/>
                <w:szCs w:val="21"/>
              </w:rPr>
              <w:t xml:space="preserve">Zmiana taryf obrotu energią elektryczną </w:t>
            </w:r>
          </w:p>
          <w:p w14:paraId="3CEEBC66" w14:textId="0E6D458E" w:rsidR="009B4369" w:rsidRPr="0066079A" w:rsidRDefault="009B4369" w:rsidP="00180F9D">
            <w:pPr>
              <w:spacing w:after="120" w:line="240" w:lineRule="auto"/>
              <w:jc w:val="both"/>
              <w:rPr>
                <w:rFonts w:ascii="Times New Roman" w:hAnsi="Times New Roman"/>
                <w:color w:val="000000"/>
                <w:sz w:val="21"/>
                <w:szCs w:val="21"/>
              </w:rPr>
            </w:pPr>
            <w:r w:rsidRPr="0066079A">
              <w:rPr>
                <w:rFonts w:ascii="Times New Roman" w:hAnsi="Times New Roman"/>
                <w:color w:val="000000"/>
                <w:sz w:val="21"/>
                <w:szCs w:val="21"/>
              </w:rPr>
              <w:t>Z uwagi na stabilizację sytuacji na rynku i znaczne obniżenie cen energii notowanych na Towarowej Giełdzie Energii, w projekcie przewiduje się dokonanie zmian w</w:t>
            </w:r>
            <w:r w:rsidR="006976FF" w:rsidRPr="0066079A">
              <w:rPr>
                <w:rFonts w:ascii="Times New Roman" w:hAnsi="Times New Roman"/>
                <w:color w:val="000000"/>
                <w:sz w:val="21"/>
                <w:szCs w:val="21"/>
              </w:rPr>
              <w:t xml:space="preserve"> obszarze </w:t>
            </w:r>
            <w:r w:rsidR="00381B08" w:rsidRPr="0066079A">
              <w:rPr>
                <w:rFonts w:ascii="Times New Roman" w:hAnsi="Times New Roman"/>
                <w:color w:val="000000"/>
                <w:sz w:val="21"/>
                <w:szCs w:val="21"/>
              </w:rPr>
              <w:t>dotyczącym</w:t>
            </w:r>
            <w:r w:rsidRPr="0066079A">
              <w:rPr>
                <w:rFonts w:ascii="Times New Roman" w:hAnsi="Times New Roman"/>
                <w:color w:val="000000"/>
                <w:sz w:val="21"/>
                <w:szCs w:val="21"/>
              </w:rPr>
              <w:t xml:space="preserve"> taryf zatwierdzonych przez Prezesa Urzędu Regulacji Energetyki, obowiązujących do końca 2024 r. Projektowane przepisy nakładają na przedsiębiorstwa energetyczne obowiązek przedłożenia do zatwierdzenia Prezesowi URE zmiany taryfy z okresem jej obowiązywania nie krótszym niż do dnia 31 grudnia 2025 r. Zakładanym efektem będzie obniżenie poziomu cen energii elektrycznej obowiązujących w taryfach dla gospodarstw domowych.</w:t>
            </w:r>
          </w:p>
          <w:p w14:paraId="2DBE6920" w14:textId="77777777" w:rsidR="009B4369" w:rsidRPr="0066079A" w:rsidRDefault="009B4369" w:rsidP="00180F9D">
            <w:pPr>
              <w:spacing w:after="120" w:line="240" w:lineRule="auto"/>
              <w:jc w:val="both"/>
              <w:rPr>
                <w:rFonts w:ascii="Times New Roman" w:hAnsi="Times New Roman"/>
                <w:b/>
                <w:bCs/>
                <w:color w:val="000000"/>
                <w:sz w:val="21"/>
                <w:szCs w:val="21"/>
              </w:rPr>
            </w:pPr>
            <w:r w:rsidRPr="0066079A">
              <w:rPr>
                <w:rFonts w:ascii="Times New Roman" w:hAnsi="Times New Roman"/>
                <w:b/>
                <w:bCs/>
                <w:color w:val="000000"/>
                <w:sz w:val="21"/>
                <w:szCs w:val="21"/>
              </w:rPr>
              <w:t>Cena maksymalna za energię elektryczną</w:t>
            </w:r>
          </w:p>
          <w:p w14:paraId="7CD3C2D1" w14:textId="4717265C" w:rsidR="009B4369" w:rsidRPr="0066079A" w:rsidRDefault="009B4369" w:rsidP="00180F9D">
            <w:pPr>
              <w:spacing w:after="120" w:line="240" w:lineRule="auto"/>
              <w:jc w:val="both"/>
              <w:rPr>
                <w:rFonts w:ascii="Times New Roman" w:hAnsi="Times New Roman"/>
                <w:color w:val="000000"/>
                <w:sz w:val="21"/>
                <w:szCs w:val="21"/>
              </w:rPr>
            </w:pPr>
            <w:r w:rsidRPr="0066079A">
              <w:rPr>
                <w:rFonts w:ascii="Times New Roman" w:hAnsi="Times New Roman"/>
                <w:color w:val="000000"/>
                <w:sz w:val="21"/>
                <w:szCs w:val="21"/>
              </w:rPr>
              <w:t xml:space="preserve">W projekcie ustawy zawarto przepisy przedłużające obowiązywanie ceny maksymalnej za energie elektryczną dla odbiorców energii w gospodarstwach domowych. Cena ta obowiązywać będzie w drugiej połowie 2024 r. i ma być ustalona na poziomie 500 zł/MWh. </w:t>
            </w:r>
            <w:r w:rsidR="00880697">
              <w:rPr>
                <w:rFonts w:ascii="Times New Roman" w:hAnsi="Times New Roman"/>
                <w:color w:val="000000"/>
                <w:sz w:val="21"/>
                <w:szCs w:val="21"/>
              </w:rPr>
              <w:t xml:space="preserve">Ponadto </w:t>
            </w:r>
            <w:r w:rsidR="008413F8">
              <w:rPr>
                <w:rFonts w:ascii="Times New Roman" w:hAnsi="Times New Roman"/>
                <w:color w:val="000000"/>
                <w:sz w:val="21"/>
                <w:szCs w:val="21"/>
              </w:rPr>
              <w:t xml:space="preserve">w II połowie 2024 r. </w:t>
            </w:r>
            <w:r w:rsidR="00880697">
              <w:rPr>
                <w:rFonts w:ascii="Times New Roman" w:hAnsi="Times New Roman"/>
                <w:color w:val="000000"/>
                <w:sz w:val="21"/>
                <w:szCs w:val="21"/>
              </w:rPr>
              <w:t xml:space="preserve">przewiduje się utrzymanie </w:t>
            </w:r>
            <w:r w:rsidR="00EC178B">
              <w:rPr>
                <w:rFonts w:ascii="Times New Roman" w:hAnsi="Times New Roman"/>
                <w:color w:val="000000"/>
                <w:sz w:val="21"/>
                <w:szCs w:val="21"/>
              </w:rPr>
              <w:t>obowiązującej w I połowi</w:t>
            </w:r>
            <w:r w:rsidR="006B6CDF">
              <w:rPr>
                <w:rFonts w:ascii="Times New Roman" w:hAnsi="Times New Roman"/>
                <w:color w:val="000000"/>
                <w:sz w:val="21"/>
                <w:szCs w:val="21"/>
              </w:rPr>
              <w:t xml:space="preserve">e 2024 r. </w:t>
            </w:r>
            <w:r w:rsidR="00880697">
              <w:rPr>
                <w:rFonts w:ascii="Times New Roman" w:hAnsi="Times New Roman"/>
                <w:color w:val="000000"/>
                <w:sz w:val="21"/>
                <w:szCs w:val="21"/>
              </w:rPr>
              <w:t xml:space="preserve">ceny maksymalnej na poziomie 693 zł/MWh </w:t>
            </w:r>
            <w:r w:rsidR="008C31E9">
              <w:rPr>
                <w:rFonts w:ascii="Times New Roman" w:hAnsi="Times New Roman"/>
                <w:color w:val="000000"/>
                <w:sz w:val="21"/>
                <w:szCs w:val="21"/>
              </w:rPr>
              <w:t xml:space="preserve">dla </w:t>
            </w:r>
            <w:r w:rsidR="007C3E82">
              <w:rPr>
                <w:rFonts w:ascii="Times New Roman" w:hAnsi="Times New Roman"/>
                <w:color w:val="000000"/>
                <w:sz w:val="21"/>
                <w:szCs w:val="21"/>
              </w:rPr>
              <w:t xml:space="preserve">jednostek samorządu terytorialnego </w:t>
            </w:r>
            <w:r w:rsidR="00464F77">
              <w:rPr>
                <w:rFonts w:ascii="Times New Roman" w:hAnsi="Times New Roman"/>
                <w:color w:val="000000"/>
                <w:sz w:val="21"/>
                <w:szCs w:val="21"/>
              </w:rPr>
              <w:t xml:space="preserve">(JST) </w:t>
            </w:r>
            <w:r w:rsidR="007C3E82">
              <w:rPr>
                <w:rFonts w:ascii="Times New Roman" w:hAnsi="Times New Roman"/>
                <w:color w:val="000000"/>
                <w:sz w:val="21"/>
                <w:szCs w:val="21"/>
              </w:rPr>
              <w:t>oraz podmiotów użyteczności publicznej</w:t>
            </w:r>
            <w:r w:rsidR="00DD4936">
              <w:rPr>
                <w:rFonts w:ascii="Times New Roman" w:hAnsi="Times New Roman"/>
                <w:color w:val="000000"/>
                <w:sz w:val="21"/>
                <w:szCs w:val="21"/>
              </w:rPr>
              <w:t xml:space="preserve"> </w:t>
            </w:r>
            <w:r w:rsidR="00051D1F">
              <w:rPr>
                <w:rFonts w:ascii="Times New Roman" w:hAnsi="Times New Roman"/>
                <w:color w:val="000000"/>
                <w:sz w:val="21"/>
                <w:szCs w:val="21"/>
              </w:rPr>
              <w:t xml:space="preserve">(szkoły, szpitale, żłobki </w:t>
            </w:r>
            <w:r w:rsidR="00051D1F" w:rsidRPr="00E91019">
              <w:rPr>
                <w:rFonts w:ascii="Times New Roman" w:hAnsi="Times New Roman"/>
                <w:color w:val="000000"/>
                <w:sz w:val="21"/>
                <w:szCs w:val="21"/>
              </w:rPr>
              <w:t>etc.)</w:t>
            </w:r>
            <w:r w:rsidR="00EE5F47" w:rsidRPr="00E91019">
              <w:rPr>
                <w:rFonts w:ascii="Times New Roman" w:hAnsi="Times New Roman"/>
                <w:color w:val="000000"/>
                <w:sz w:val="21"/>
                <w:szCs w:val="21"/>
              </w:rPr>
              <w:t>, a także dla mikro małych i średnich przedsiębiorców (MŚP)</w:t>
            </w:r>
            <w:r w:rsidR="00A33EFD" w:rsidRPr="00E91019">
              <w:rPr>
                <w:rFonts w:ascii="Times New Roman" w:hAnsi="Times New Roman"/>
                <w:color w:val="000000"/>
                <w:sz w:val="21"/>
                <w:szCs w:val="21"/>
              </w:rPr>
              <w:t>.</w:t>
            </w:r>
            <w:r w:rsidR="00EC178B">
              <w:rPr>
                <w:rFonts w:ascii="Times New Roman" w:hAnsi="Times New Roman"/>
                <w:color w:val="000000"/>
                <w:sz w:val="21"/>
                <w:szCs w:val="21"/>
              </w:rPr>
              <w:t xml:space="preserve"> </w:t>
            </w:r>
            <w:r w:rsidRPr="0066079A">
              <w:rPr>
                <w:rFonts w:ascii="Times New Roman" w:hAnsi="Times New Roman"/>
                <w:color w:val="000000"/>
                <w:sz w:val="21"/>
                <w:szCs w:val="21"/>
              </w:rPr>
              <w:t>Za stosowanie ceny maksymalnej, przedsiębiorstwa energetyczne otrzymają rekompensaty.</w:t>
            </w:r>
          </w:p>
          <w:p w14:paraId="06B7D817" w14:textId="4A0EE8B2" w:rsidR="008864F6" w:rsidRPr="0066079A" w:rsidRDefault="008864F6" w:rsidP="00180F9D">
            <w:pPr>
              <w:spacing w:after="120" w:line="240" w:lineRule="auto"/>
              <w:jc w:val="both"/>
              <w:rPr>
                <w:rFonts w:ascii="Times New Roman" w:hAnsi="Times New Roman"/>
                <w:b/>
                <w:bCs/>
                <w:color w:val="000000"/>
                <w:spacing w:val="-2"/>
                <w:sz w:val="21"/>
                <w:szCs w:val="21"/>
              </w:rPr>
            </w:pPr>
            <w:r w:rsidRPr="0066079A">
              <w:rPr>
                <w:rFonts w:ascii="Times New Roman" w:hAnsi="Times New Roman"/>
                <w:b/>
                <w:bCs/>
                <w:color w:val="000000"/>
                <w:spacing w:val="-2"/>
                <w:sz w:val="21"/>
                <w:szCs w:val="21"/>
              </w:rPr>
              <w:t xml:space="preserve">Zmiany porządkujące w związku z wejściem w życie Centralnego Systemu Informacji rynku energii (CSIRE) </w:t>
            </w:r>
          </w:p>
          <w:p w14:paraId="5C466362" w14:textId="77777777" w:rsidR="007E1C91" w:rsidRPr="0066079A" w:rsidRDefault="007E1C91" w:rsidP="00180F9D">
            <w:pPr>
              <w:spacing w:after="120" w:line="240" w:lineRule="auto"/>
              <w:jc w:val="both"/>
              <w:rPr>
                <w:rFonts w:ascii="Times New Roman" w:hAnsi="Times New Roman"/>
                <w:color w:val="000000"/>
                <w:sz w:val="21"/>
                <w:szCs w:val="21"/>
              </w:rPr>
            </w:pPr>
            <w:r w:rsidRPr="0066079A">
              <w:rPr>
                <w:rFonts w:ascii="Times New Roman" w:hAnsi="Times New Roman"/>
                <w:color w:val="000000"/>
                <w:sz w:val="21"/>
                <w:szCs w:val="21"/>
              </w:rPr>
              <w:t>Ustawa z dnia 28 lipca 2023 r. o zmianie ustawy – prawo energetyczne oraz niektórych innych ustaw (Dz. U. z 2023 r. poz. 1681) ustaliła rozpoczęcie działania Centralnego Systemu Informacji Rynku Energii (CSIRE) na dzień 1 lipca 2025 r. Z kolei ustawa z dnia 29 października 2021 r. o zmianie ustawy o odnawialnych źródłach energii oraz niektórych innych ustaw (Dz. U. z 2021 r. poz. 2376) zakłada wejście w życie z dniem 2 lipca 2024 r. przepisów dotyczących prosumenta wirtualnego energii odnawialnej. W tym miejscu należy zauważyć, że instytucja i przepisy regulujące funkcjonowanie prosumenta wirtualnego energii odnawialnej są uzależnione od działania CSIRE. Oznacza to, że bez systemu CSIRE nie ma możliwości prowadzenia rozliczeń dla tego rodzaju prosumenta.</w:t>
            </w:r>
          </w:p>
          <w:p w14:paraId="135F8204" w14:textId="77777777" w:rsidR="007E1C91" w:rsidRPr="0066079A" w:rsidRDefault="007E1C91" w:rsidP="00180F9D">
            <w:pPr>
              <w:spacing w:after="120" w:line="240" w:lineRule="auto"/>
              <w:jc w:val="both"/>
              <w:rPr>
                <w:rFonts w:ascii="Times New Roman" w:hAnsi="Times New Roman"/>
                <w:color w:val="000000"/>
                <w:sz w:val="21"/>
                <w:szCs w:val="21"/>
              </w:rPr>
            </w:pPr>
            <w:r w:rsidRPr="0066079A">
              <w:rPr>
                <w:rFonts w:ascii="Times New Roman" w:hAnsi="Times New Roman"/>
                <w:color w:val="000000"/>
                <w:sz w:val="21"/>
                <w:szCs w:val="21"/>
              </w:rPr>
              <w:t>Co więcej, z instytucją prosumenta wirtualnego energii odnawialnej powiązane jest rozwiązanie zawarte w ustawie z dnia 20 maja 2016 r. o inwestycjach w zakresie elektrowni wiatrowych (Dz. U. z 2024 r. poz. 317) ,,zwanej dalej: „ustawą o inwestycjach”. Przedmiotowy mechanizm zobowiązuje inwestora planującego inwestycję budowy elektrowni wiatrowej na terenie danej gminy do wydzielenia co najmniej 10% mocy zainstalowanej projektowanego przedsięwzięcia do objęcia udziału w formule prosumenta wirtualnego energii odnawialnej. Udział ten nie może być większy niż 2 kW na każdy punkt poboru energii przyszłego prosumenta wirtualnego. Omawiany mechanizm partycypacji społecznej nie będzie prawidłowo działał bez CSIRE.</w:t>
            </w:r>
          </w:p>
          <w:p w14:paraId="6744FA62" w14:textId="06D70E12" w:rsidR="007E1C91" w:rsidRPr="00977B94" w:rsidRDefault="007E1C91" w:rsidP="00180F9D">
            <w:pPr>
              <w:spacing w:after="120" w:line="240" w:lineRule="auto"/>
              <w:jc w:val="both"/>
              <w:rPr>
                <w:rFonts w:ascii="Times New Roman" w:hAnsi="Times New Roman"/>
                <w:color w:val="000000"/>
                <w:sz w:val="21"/>
                <w:szCs w:val="21"/>
              </w:rPr>
            </w:pPr>
            <w:r w:rsidRPr="0066079A">
              <w:rPr>
                <w:rFonts w:ascii="Times New Roman" w:hAnsi="Times New Roman"/>
                <w:color w:val="000000"/>
                <w:sz w:val="21"/>
                <w:szCs w:val="21"/>
              </w:rPr>
              <w:t>W związku z powyższym, konieczna jest harmonizacja terminu wejścia w życie przepisów dotyczących instytucji prosumenta wirtualnego energii odnawialnej z terminem wejścia w życie CSIRE.</w:t>
            </w:r>
          </w:p>
          <w:p w14:paraId="0EDCF1B9" w14:textId="2ABF85AE" w:rsidR="00B63393" w:rsidRPr="00066FC1" w:rsidRDefault="00B63393" w:rsidP="00180F9D">
            <w:pPr>
              <w:spacing w:before="60" w:after="60" w:line="240" w:lineRule="auto"/>
              <w:jc w:val="both"/>
              <w:rPr>
                <w:rFonts w:ascii="Times New Roman" w:hAnsi="Times New Roman"/>
                <w:b/>
                <w:bCs/>
                <w:color w:val="000000"/>
                <w:spacing w:val="-2"/>
                <w:sz w:val="21"/>
                <w:szCs w:val="21"/>
              </w:rPr>
            </w:pPr>
            <w:r w:rsidRPr="00066FC1">
              <w:rPr>
                <w:rFonts w:ascii="Times New Roman" w:hAnsi="Times New Roman"/>
                <w:b/>
                <w:bCs/>
                <w:color w:val="000000"/>
                <w:spacing w:val="-2"/>
                <w:sz w:val="21"/>
                <w:szCs w:val="21"/>
              </w:rPr>
              <w:t xml:space="preserve">Zmiany w ustawie z </w:t>
            </w:r>
            <w:r w:rsidR="006973D1">
              <w:rPr>
                <w:rFonts w:ascii="Times New Roman" w:hAnsi="Times New Roman"/>
                <w:b/>
                <w:bCs/>
                <w:color w:val="000000"/>
                <w:spacing w:val="-2"/>
                <w:sz w:val="21"/>
                <w:szCs w:val="21"/>
              </w:rPr>
              <w:t xml:space="preserve">dnia </w:t>
            </w:r>
            <w:r w:rsidRPr="00066FC1">
              <w:rPr>
                <w:rFonts w:ascii="Times New Roman" w:hAnsi="Times New Roman"/>
                <w:b/>
                <w:bCs/>
                <w:color w:val="000000"/>
                <w:spacing w:val="-2"/>
                <w:sz w:val="21"/>
                <w:szCs w:val="21"/>
              </w:rPr>
              <w:t>15 grudnia 2022 r. o szczególnej ochronie niektórych odbiorców paliw gazowych w 2023 r. oraz w 2024 r. w związku z sytuacją na rynku gazu:</w:t>
            </w:r>
          </w:p>
          <w:p w14:paraId="12B18FD3" w14:textId="63B25F8C" w:rsidR="00B63393" w:rsidRPr="00066FC1" w:rsidRDefault="00B63393" w:rsidP="00180F9D">
            <w:pPr>
              <w:spacing w:line="240" w:lineRule="auto"/>
              <w:jc w:val="both"/>
              <w:rPr>
                <w:rFonts w:ascii="Times New Roman" w:hAnsi="Times New Roman"/>
                <w:color w:val="000000"/>
                <w:spacing w:val="-2"/>
                <w:sz w:val="21"/>
                <w:szCs w:val="21"/>
              </w:rPr>
            </w:pPr>
            <w:r w:rsidRPr="00066FC1">
              <w:rPr>
                <w:rFonts w:ascii="Times New Roman" w:hAnsi="Times New Roman"/>
                <w:color w:val="000000"/>
                <w:spacing w:val="-2"/>
                <w:sz w:val="21"/>
                <w:szCs w:val="21"/>
              </w:rPr>
              <w:t xml:space="preserve">Celem projektowanych przepisów jest zapewnienie do 31 grudnia 2024 r. dostaw paliw gazowych na stabilnym, akceptowalnym </w:t>
            </w:r>
            <w:r w:rsidR="00977B94">
              <w:rPr>
                <w:rFonts w:ascii="Times New Roman" w:hAnsi="Times New Roman"/>
                <w:color w:val="000000"/>
                <w:spacing w:val="-2"/>
                <w:sz w:val="21"/>
                <w:szCs w:val="21"/>
              </w:rPr>
              <w:t xml:space="preserve">dla odbiorców </w:t>
            </w:r>
            <w:r w:rsidRPr="00066FC1">
              <w:rPr>
                <w:rFonts w:ascii="Times New Roman" w:hAnsi="Times New Roman"/>
                <w:color w:val="000000"/>
                <w:spacing w:val="-2"/>
                <w:sz w:val="21"/>
                <w:szCs w:val="21"/>
              </w:rPr>
              <w:t xml:space="preserve">poziomie cenowym. </w:t>
            </w:r>
          </w:p>
          <w:p w14:paraId="40E75264" w14:textId="77777777" w:rsidR="00B63393" w:rsidRPr="00066FC1" w:rsidRDefault="00B63393" w:rsidP="00180F9D">
            <w:pPr>
              <w:spacing w:line="240" w:lineRule="auto"/>
              <w:jc w:val="both"/>
              <w:rPr>
                <w:rFonts w:ascii="Times New Roman" w:hAnsi="Times New Roman"/>
                <w:color w:val="000000"/>
                <w:spacing w:val="-2"/>
                <w:sz w:val="21"/>
                <w:szCs w:val="21"/>
              </w:rPr>
            </w:pPr>
            <w:r w:rsidRPr="00066FC1">
              <w:rPr>
                <w:rFonts w:ascii="Times New Roman" w:hAnsi="Times New Roman"/>
                <w:color w:val="000000"/>
                <w:spacing w:val="-2"/>
                <w:sz w:val="21"/>
                <w:szCs w:val="21"/>
              </w:rPr>
              <w:t>Projektowane zmiany zakładają:</w:t>
            </w:r>
          </w:p>
          <w:p w14:paraId="05509DC6" w14:textId="77777777" w:rsidR="00B63393" w:rsidRPr="00066FC1" w:rsidRDefault="00B63393" w:rsidP="00180F9D">
            <w:pPr>
              <w:numPr>
                <w:ilvl w:val="0"/>
                <w:numId w:val="35"/>
              </w:numPr>
              <w:spacing w:line="240" w:lineRule="auto"/>
              <w:jc w:val="both"/>
              <w:rPr>
                <w:rFonts w:ascii="Times New Roman" w:hAnsi="Times New Roman"/>
                <w:color w:val="000000"/>
                <w:spacing w:val="-2"/>
                <w:sz w:val="21"/>
                <w:szCs w:val="21"/>
              </w:rPr>
            </w:pPr>
            <w:r w:rsidRPr="00066FC1">
              <w:rPr>
                <w:rFonts w:ascii="Times New Roman" w:hAnsi="Times New Roman"/>
                <w:color w:val="000000"/>
                <w:spacing w:val="-2"/>
                <w:sz w:val="21"/>
                <w:szCs w:val="21"/>
              </w:rPr>
              <w:t>zmianę ceny maksymalnej paliw gazowych do poziomu taryfy dla paliw gazowych zatwierdzonej dla przedsiębiorstwa energetycznego, o którym mowa w art. 62c ust. 1 ustawy - Prawo energetyczne lub na poziomie taryfy dla obowiązującej dla tego przedsiębiorstwa w dniu 1 stycznia 2022 r.;</w:t>
            </w:r>
          </w:p>
          <w:p w14:paraId="00C1676F" w14:textId="77777777" w:rsidR="00B63393" w:rsidRPr="00066FC1" w:rsidRDefault="00B63393" w:rsidP="00180F9D">
            <w:pPr>
              <w:numPr>
                <w:ilvl w:val="0"/>
                <w:numId w:val="35"/>
              </w:numPr>
              <w:spacing w:line="240" w:lineRule="auto"/>
              <w:jc w:val="both"/>
              <w:rPr>
                <w:rFonts w:ascii="Times New Roman" w:hAnsi="Times New Roman"/>
                <w:color w:val="000000"/>
                <w:spacing w:val="-2"/>
                <w:sz w:val="21"/>
                <w:szCs w:val="21"/>
              </w:rPr>
            </w:pPr>
            <w:r w:rsidRPr="00066FC1">
              <w:rPr>
                <w:rFonts w:ascii="Times New Roman" w:hAnsi="Times New Roman"/>
                <w:color w:val="000000"/>
                <w:spacing w:val="-2"/>
                <w:sz w:val="21"/>
                <w:szCs w:val="21"/>
              </w:rPr>
              <w:lastRenderedPageBreak/>
              <w:t xml:space="preserve">modyfikację systemu rekompensat dla </w:t>
            </w:r>
            <w:r w:rsidRPr="00066FC1">
              <w:rPr>
                <w:rFonts w:ascii="Times New Roman" w:hAnsi="Times New Roman"/>
                <w:sz w:val="21"/>
                <w:szCs w:val="21"/>
              </w:rPr>
              <w:t>sprzedawców paliw gazowych stosujących cenę maksymalną dla odbiorców końcowych objętych taryfą;</w:t>
            </w:r>
          </w:p>
          <w:p w14:paraId="16A9D123" w14:textId="64C2297C" w:rsidR="00B63393" w:rsidRPr="00066FC1" w:rsidRDefault="00B63393" w:rsidP="00180F9D">
            <w:pPr>
              <w:numPr>
                <w:ilvl w:val="0"/>
                <w:numId w:val="35"/>
              </w:numPr>
              <w:spacing w:line="240" w:lineRule="auto"/>
              <w:jc w:val="both"/>
              <w:rPr>
                <w:rFonts w:ascii="Times New Roman" w:hAnsi="Times New Roman"/>
                <w:color w:val="000000"/>
                <w:spacing w:val="-2"/>
                <w:sz w:val="21"/>
                <w:szCs w:val="21"/>
              </w:rPr>
            </w:pPr>
            <w:r w:rsidRPr="00066FC1">
              <w:rPr>
                <w:rFonts w:ascii="Times New Roman" w:hAnsi="Times New Roman"/>
                <w:color w:val="000000"/>
                <w:spacing w:val="-2"/>
                <w:sz w:val="21"/>
                <w:szCs w:val="21"/>
              </w:rPr>
              <w:t xml:space="preserve">rekalkulację taryfy przedsiębiorstwa energetycznego, o którym mowa w art. 62c ust. 1 ustawy - Prawo energetyczne oraz mechanizm </w:t>
            </w:r>
            <w:r w:rsidR="00CF5613">
              <w:rPr>
                <w:rFonts w:ascii="Times New Roman" w:hAnsi="Times New Roman"/>
                <w:color w:val="000000"/>
                <w:spacing w:val="-2"/>
                <w:sz w:val="21"/>
                <w:szCs w:val="21"/>
              </w:rPr>
              <w:t>rozliczenia zysków lub strat związanych z skróceniem obowiązywania obecnej taryfy</w:t>
            </w:r>
            <w:r w:rsidRPr="00066FC1">
              <w:rPr>
                <w:rFonts w:ascii="Times New Roman" w:hAnsi="Times New Roman"/>
                <w:color w:val="000000"/>
                <w:spacing w:val="-2"/>
                <w:sz w:val="21"/>
                <w:szCs w:val="21"/>
              </w:rPr>
              <w:t>;</w:t>
            </w:r>
          </w:p>
          <w:p w14:paraId="6787FC21" w14:textId="0EE12B26" w:rsidR="00B63393" w:rsidRDefault="00B63393" w:rsidP="00180F9D">
            <w:pPr>
              <w:numPr>
                <w:ilvl w:val="0"/>
                <w:numId w:val="35"/>
              </w:numPr>
              <w:spacing w:line="240" w:lineRule="auto"/>
              <w:jc w:val="both"/>
              <w:rPr>
                <w:rFonts w:ascii="Times New Roman" w:hAnsi="Times New Roman"/>
                <w:color w:val="000000"/>
                <w:spacing w:val="-2"/>
                <w:sz w:val="21"/>
                <w:szCs w:val="21"/>
              </w:rPr>
            </w:pPr>
            <w:r w:rsidRPr="00066FC1">
              <w:rPr>
                <w:rFonts w:ascii="Times New Roman" w:hAnsi="Times New Roman"/>
                <w:color w:val="000000"/>
                <w:spacing w:val="-2"/>
                <w:sz w:val="21"/>
                <w:szCs w:val="21"/>
              </w:rPr>
              <w:t>zmiany terminów dla przedsiębiorstw energetycznych, które wynikają z przedłużenia dodatkowej ochrony dla niektórych odbiorców paliw gazowych do 31 grudnia 2024 r</w:t>
            </w:r>
            <w:r>
              <w:rPr>
                <w:rFonts w:ascii="Times New Roman" w:hAnsi="Times New Roman"/>
                <w:color w:val="000000"/>
                <w:spacing w:val="-2"/>
                <w:sz w:val="21"/>
                <w:szCs w:val="21"/>
              </w:rPr>
              <w:t>.</w:t>
            </w:r>
          </w:p>
          <w:p w14:paraId="274BA88A" w14:textId="77777777" w:rsidR="00F03778" w:rsidRDefault="00F03778" w:rsidP="00180F9D">
            <w:pPr>
              <w:spacing w:line="240" w:lineRule="auto"/>
              <w:jc w:val="both"/>
              <w:rPr>
                <w:rFonts w:ascii="Times New Roman" w:hAnsi="Times New Roman"/>
                <w:color w:val="000000"/>
                <w:spacing w:val="-2"/>
                <w:sz w:val="21"/>
                <w:szCs w:val="21"/>
              </w:rPr>
            </w:pPr>
          </w:p>
          <w:p w14:paraId="7D3AFC3D" w14:textId="49B31B6F" w:rsidR="00F03778" w:rsidRDefault="00F03778" w:rsidP="00180F9D">
            <w:pPr>
              <w:spacing w:line="240" w:lineRule="auto"/>
              <w:jc w:val="both"/>
              <w:rPr>
                <w:rFonts w:ascii="Times New Roman" w:hAnsi="Times New Roman"/>
                <w:b/>
                <w:bCs/>
                <w:color w:val="000000"/>
                <w:spacing w:val="-2"/>
                <w:sz w:val="21"/>
                <w:szCs w:val="21"/>
              </w:rPr>
            </w:pPr>
            <w:r>
              <w:rPr>
                <w:rFonts w:ascii="Times New Roman" w:hAnsi="Times New Roman"/>
                <w:b/>
                <w:bCs/>
                <w:color w:val="000000"/>
                <w:spacing w:val="-2"/>
                <w:sz w:val="21"/>
                <w:szCs w:val="21"/>
              </w:rPr>
              <w:t>Zmiany w zakresie rynku ciepła</w:t>
            </w:r>
          </w:p>
          <w:p w14:paraId="511B6934" w14:textId="77777777" w:rsidR="00F03778" w:rsidRDefault="00F03778" w:rsidP="00180F9D">
            <w:pPr>
              <w:spacing w:line="240" w:lineRule="auto"/>
              <w:jc w:val="both"/>
              <w:rPr>
                <w:rFonts w:ascii="Times New Roman" w:hAnsi="Times New Roman"/>
                <w:color w:val="000000"/>
                <w:spacing w:val="-2"/>
                <w:sz w:val="21"/>
                <w:szCs w:val="21"/>
              </w:rPr>
            </w:pPr>
            <w:r w:rsidRPr="00F03778">
              <w:rPr>
                <w:rFonts w:ascii="Times New Roman" w:hAnsi="Times New Roman"/>
                <w:color w:val="000000"/>
                <w:spacing w:val="-2"/>
                <w:sz w:val="21"/>
                <w:szCs w:val="21"/>
              </w:rPr>
              <w:t xml:space="preserve">Projektowana regulacja ma na celu utrzymanie wsparcia dla gospodarstw domowych oraz podmiotów użyteczności publicznej przez pokrycie części należności odbiorców ciepła wobec przedsiębiorstw energetycznych prowadzących działalność niekoncesjonowaną i koncesjonowaną w zakresie wytwarzania ciepła wynikających ze wzrostu kosztów ogrzewania przez wyrównanie, w celu ograniczenia wzrostu opłat za ciepło na określonym poziomie. </w:t>
            </w:r>
          </w:p>
          <w:p w14:paraId="36266ABF" w14:textId="77777777" w:rsidR="001D7F53" w:rsidRPr="00C25455" w:rsidRDefault="001D7F53" w:rsidP="00180F9D">
            <w:pPr>
              <w:spacing w:line="240" w:lineRule="auto"/>
              <w:jc w:val="both"/>
              <w:rPr>
                <w:rFonts w:ascii="Times New Roman" w:hAnsi="Times New Roman"/>
                <w:sz w:val="21"/>
                <w:szCs w:val="21"/>
              </w:rPr>
            </w:pPr>
            <w:r w:rsidRPr="00C25455">
              <w:rPr>
                <w:rFonts w:ascii="Times New Roman" w:hAnsi="Times New Roman"/>
                <w:sz w:val="21"/>
                <w:szCs w:val="21"/>
              </w:rPr>
              <w:t>Projektowana zmiana przepisów zakłada przedłużenie działania mechanizmu maksymalnej ceny dostawy ciepła do 30 czerwca 2025 r., co stanowi powielenie rozwiązania już zastosowanego w ustawie z dnia 7 grudnia 2023 r. o zmianie ustaw w celu wsparcia odbiorców energii elektrycznej, paliw gazowych i ciepła.</w:t>
            </w:r>
          </w:p>
          <w:p w14:paraId="7AD9E51E" w14:textId="77777777" w:rsidR="001D7F53" w:rsidRPr="00342951" w:rsidRDefault="001D7F53" w:rsidP="00180F9D">
            <w:pPr>
              <w:spacing w:line="240" w:lineRule="auto"/>
              <w:jc w:val="both"/>
              <w:rPr>
                <w:rFonts w:ascii="Times New Roman" w:hAnsi="Times New Roman"/>
                <w:color w:val="000000"/>
                <w:sz w:val="21"/>
                <w:szCs w:val="21"/>
              </w:rPr>
            </w:pPr>
            <w:r w:rsidRPr="00C25455">
              <w:rPr>
                <w:rFonts w:ascii="Times New Roman" w:hAnsi="Times New Roman"/>
                <w:sz w:val="21"/>
                <w:szCs w:val="21"/>
              </w:rPr>
              <w:t xml:space="preserve">W </w:t>
            </w:r>
            <w:r w:rsidRPr="00342951">
              <w:rPr>
                <w:rFonts w:ascii="Times New Roman" w:hAnsi="Times New Roman"/>
                <w:color w:val="000000"/>
                <w:sz w:val="21"/>
                <w:szCs w:val="21"/>
              </w:rPr>
              <w:t>projekcie ustawy proponuje się wprowadzenie następujących zmian do obowiązujących przepisów:</w:t>
            </w:r>
          </w:p>
          <w:p w14:paraId="1437B7E5" w14:textId="659D90C0" w:rsidR="001D7F53" w:rsidRPr="00342951" w:rsidRDefault="001D7F53" w:rsidP="00180F9D">
            <w:pPr>
              <w:spacing w:before="120" w:line="240" w:lineRule="auto"/>
              <w:jc w:val="both"/>
              <w:rPr>
                <w:rFonts w:ascii="Times New Roman" w:hAnsi="Times New Roman"/>
                <w:color w:val="000000"/>
                <w:sz w:val="21"/>
                <w:szCs w:val="21"/>
              </w:rPr>
            </w:pPr>
            <w:r w:rsidRPr="00342951">
              <w:rPr>
                <w:rFonts w:ascii="Times New Roman" w:hAnsi="Times New Roman"/>
                <w:color w:val="000000"/>
                <w:sz w:val="21"/>
                <w:szCs w:val="21"/>
              </w:rPr>
              <w:t>1. Przedsiębiorstwo energetyczne posiadające koncesję i wykonujące działalność gospodarczą w zakresie sprzedaży ciepła, jak i przedsiębiorstwo energetyczne wykonujące działalność gospodarczą w zakresie sprzedaży ciepła, która nie wymaga uzyskania koncesji, lub zwolnione z obowiązku przedkładania taryf dla ciepła do zatwierdzania Prezesowi URE, będą samodzielnie obliczać i wprowadzać do stosowania w rozliczeniach z odbiorcami uprawnionymi maksymalną cenę dostawy ciepła dla danego systemu ciepłowniczego z uwzględnieniem cen i stawek opłat w każdej grupie taryfowej, powiększonych w stosunku do cen i stawek opłat stosowanych na dzień 30 września 2022 r. odpowiednio o:</w:t>
            </w:r>
          </w:p>
          <w:p w14:paraId="389699BE" w14:textId="77777777" w:rsidR="001D7F53" w:rsidRPr="00342951" w:rsidRDefault="001D7F53" w:rsidP="00180F9D">
            <w:pPr>
              <w:pStyle w:val="ZPKTzmpktartykuempunktem"/>
              <w:spacing w:line="240" w:lineRule="auto"/>
              <w:rPr>
                <w:rFonts w:ascii="Times New Roman" w:eastAsia="Calibri" w:hAnsi="Times New Roman" w:cs="Times New Roman"/>
                <w:bCs w:val="0"/>
                <w:color w:val="000000"/>
                <w:sz w:val="21"/>
                <w:szCs w:val="21"/>
                <w:lang w:eastAsia="en-US"/>
              </w:rPr>
            </w:pPr>
            <w:r w:rsidRPr="00342951">
              <w:rPr>
                <w:rFonts w:ascii="Times New Roman" w:eastAsia="Calibri" w:hAnsi="Times New Roman" w:cs="Times New Roman"/>
                <w:bCs w:val="0"/>
                <w:color w:val="000000"/>
                <w:sz w:val="21"/>
                <w:szCs w:val="21"/>
                <w:lang w:eastAsia="en-US"/>
              </w:rPr>
              <w:t>b) o 46% - w okresie od 1 lipca 2024 r. do 31 grudnia 2024 r.,</w:t>
            </w:r>
          </w:p>
          <w:p w14:paraId="0494E7CB" w14:textId="77777777" w:rsidR="001D7F53" w:rsidRDefault="001D7F53" w:rsidP="00180F9D">
            <w:pPr>
              <w:pStyle w:val="ZPKTzmpktartykuempunktem"/>
              <w:spacing w:line="240" w:lineRule="auto"/>
              <w:rPr>
                <w:rFonts w:ascii="Times New Roman" w:eastAsia="Calibri" w:hAnsi="Times New Roman" w:cs="Times New Roman"/>
                <w:bCs w:val="0"/>
                <w:color w:val="000000"/>
                <w:sz w:val="21"/>
                <w:szCs w:val="21"/>
                <w:lang w:eastAsia="en-US"/>
              </w:rPr>
            </w:pPr>
            <w:r w:rsidRPr="00342951">
              <w:rPr>
                <w:rFonts w:ascii="Times New Roman" w:eastAsia="Calibri" w:hAnsi="Times New Roman" w:cs="Times New Roman"/>
                <w:bCs w:val="0"/>
                <w:color w:val="000000"/>
                <w:sz w:val="21"/>
                <w:szCs w:val="21"/>
                <w:lang w:eastAsia="en-US"/>
              </w:rPr>
              <w:t>c) o 52% - w okresie od 1 stycznia 2025 do 30 czerwca 2025 r.</w:t>
            </w:r>
          </w:p>
          <w:p w14:paraId="27F081F0" w14:textId="69EDDAE7" w:rsidR="008C2F37" w:rsidRPr="00425769" w:rsidRDefault="008C2F37" w:rsidP="00180F9D">
            <w:pPr>
              <w:pStyle w:val="ZPKTzmpktartykuempunktem"/>
              <w:spacing w:after="240" w:line="240" w:lineRule="auto"/>
              <w:ind w:left="0" w:firstLine="0"/>
              <w:rPr>
                <w:rFonts w:ascii="Times New Roman" w:hAnsi="Times New Roman" w:cs="Times New Roman"/>
                <w:sz w:val="21"/>
                <w:szCs w:val="21"/>
              </w:rPr>
            </w:pPr>
            <w:r>
              <w:rPr>
                <w:rFonts w:ascii="Times New Roman" w:hAnsi="Times New Roman" w:cs="Times New Roman"/>
                <w:sz w:val="21"/>
                <w:szCs w:val="21"/>
              </w:rPr>
              <w:t>Zastosowany w projekcie ustawy punkt odniesienia dotyczy cen stosowanych w dniu 30 września 2022 r.,</w:t>
            </w:r>
            <w:r w:rsidR="00191DB6">
              <w:rPr>
                <w:rFonts w:ascii="Times New Roman" w:hAnsi="Times New Roman" w:cs="Times New Roman"/>
                <w:sz w:val="21"/>
                <w:szCs w:val="21"/>
              </w:rPr>
              <w:t xml:space="preserve"> </w:t>
            </w:r>
            <w:r>
              <w:rPr>
                <w:rFonts w:ascii="Times New Roman" w:hAnsi="Times New Roman" w:cs="Times New Roman"/>
                <w:sz w:val="21"/>
                <w:szCs w:val="21"/>
              </w:rPr>
              <w:t>co za tym idzie przyjęty w projekcie ustawy wzrost cen i stawek opłat uwzględnia już zastosowany  zgodnie z obowiązującym przepisami wzrost ceny i stawek opłat o 40%, stąd odpowiednio od 1 lipca 2024 r. i od 1 stycznia 2025 r. te ceny i stawki zostaną powiększone maksymalnie  o odpowiednio  o 15% i 30%. Tą drogą zaprojektowano ścieżkę stopniowego wygaszania wsparcia  dla odbiorców ciepła, o których mowa w art. 4 ust. 1 ustawy</w:t>
            </w:r>
            <w:r w:rsidR="00191DB6">
              <w:rPr>
                <w:rFonts w:ascii="Times New Roman" w:hAnsi="Times New Roman" w:cs="Times New Roman"/>
                <w:sz w:val="21"/>
                <w:szCs w:val="21"/>
              </w:rPr>
              <w:t xml:space="preserve"> w celu ostatecznego przywrócenie do stosowania wyłącznie cen wynikających z taryfy lub cennik sprzedawcy.</w:t>
            </w:r>
          </w:p>
          <w:p w14:paraId="5F8CFB16" w14:textId="77777777" w:rsidR="001D7F53" w:rsidRPr="00342951" w:rsidRDefault="001D7F53" w:rsidP="00180F9D">
            <w:pPr>
              <w:autoSpaceDE w:val="0"/>
              <w:autoSpaceDN w:val="0"/>
              <w:spacing w:line="240" w:lineRule="auto"/>
              <w:jc w:val="both"/>
              <w:rPr>
                <w:rFonts w:ascii="Times New Roman" w:hAnsi="Times New Roman"/>
                <w:color w:val="000000"/>
                <w:sz w:val="21"/>
                <w:szCs w:val="21"/>
              </w:rPr>
            </w:pPr>
            <w:r w:rsidRPr="00342951">
              <w:rPr>
                <w:rFonts w:ascii="Times New Roman" w:hAnsi="Times New Roman"/>
                <w:color w:val="000000"/>
                <w:sz w:val="21"/>
                <w:szCs w:val="21"/>
              </w:rPr>
              <w:t>2. Maksymalną cenę ciepła obwarowano limitem kwotowym wynikającym z wprowadzenia nowej wysokości kwoty średniej ceny wytwarzania ciepła z rekompensatą, tak aby nie doszło do nadmiernych wzrostów cen ciepła. Zmiana zaproponowana do art. 3 wprowadza wyszczególnienie obowiązywania określonej wysokości tej kwoty na konkretny czas obowiązywania ustawy, jak również w podziale na źródła ciepła:</w:t>
            </w:r>
          </w:p>
          <w:p w14:paraId="3E895881" w14:textId="77777777" w:rsidR="001D7F53" w:rsidRPr="00342951" w:rsidRDefault="001D7F53" w:rsidP="00180F9D">
            <w:pPr>
              <w:autoSpaceDE w:val="0"/>
              <w:autoSpaceDN w:val="0"/>
              <w:spacing w:line="240" w:lineRule="auto"/>
              <w:jc w:val="both"/>
              <w:rPr>
                <w:rFonts w:ascii="Times New Roman" w:hAnsi="Times New Roman"/>
                <w:color w:val="000000"/>
                <w:sz w:val="21"/>
                <w:szCs w:val="21"/>
              </w:rPr>
            </w:pPr>
            <w:r w:rsidRPr="00342951">
              <w:rPr>
                <w:rFonts w:ascii="Times New Roman" w:hAnsi="Times New Roman"/>
                <w:color w:val="000000"/>
                <w:sz w:val="21"/>
                <w:szCs w:val="21"/>
              </w:rPr>
              <w:t xml:space="preserve"> - do dnia 30 czerwca 2024 r. wysokość średniej ceny wytwarzania ciepła z rekompensatą została utrzymana na dotychczasowym poziomie:</w:t>
            </w:r>
          </w:p>
          <w:p w14:paraId="36151AB7" w14:textId="77777777" w:rsidR="001D7F53" w:rsidRPr="00342951" w:rsidRDefault="001D7F53" w:rsidP="00180F9D">
            <w:pPr>
              <w:pStyle w:val="LITlitera"/>
              <w:spacing w:line="240" w:lineRule="auto"/>
              <w:rPr>
                <w:rFonts w:ascii="Times New Roman" w:eastAsia="Calibri" w:hAnsi="Times New Roman" w:cs="Times New Roman"/>
                <w:bCs w:val="0"/>
                <w:color w:val="000000"/>
                <w:sz w:val="21"/>
                <w:szCs w:val="21"/>
                <w:lang w:eastAsia="en-US"/>
              </w:rPr>
            </w:pPr>
            <w:bookmarkStart w:id="3" w:name="mip69561969"/>
            <w:bookmarkEnd w:id="3"/>
            <w:r w:rsidRPr="00342951">
              <w:rPr>
                <w:rFonts w:ascii="Times New Roman" w:eastAsia="Calibri" w:hAnsi="Times New Roman" w:cs="Times New Roman"/>
                <w:bCs w:val="0"/>
                <w:color w:val="000000"/>
                <w:sz w:val="21"/>
                <w:szCs w:val="21"/>
                <w:lang w:eastAsia="en-US"/>
              </w:rPr>
              <w:t>a) 150,95 zł/GJ netto dla ciepła wytwarzanego w źródłach ciepła opalanych gazem ziemnym lub olejem opałowym,</w:t>
            </w:r>
          </w:p>
          <w:p w14:paraId="62AEADC1" w14:textId="77777777" w:rsidR="001D7F53" w:rsidRPr="00342951" w:rsidRDefault="001D7F53" w:rsidP="00180F9D">
            <w:pPr>
              <w:pStyle w:val="LITlitera"/>
              <w:spacing w:line="240" w:lineRule="auto"/>
              <w:rPr>
                <w:rFonts w:ascii="Times New Roman" w:eastAsia="Calibri" w:hAnsi="Times New Roman" w:cs="Times New Roman"/>
                <w:bCs w:val="0"/>
                <w:color w:val="000000"/>
                <w:sz w:val="21"/>
                <w:szCs w:val="21"/>
                <w:lang w:eastAsia="en-US"/>
              </w:rPr>
            </w:pPr>
            <w:bookmarkStart w:id="4" w:name="mip69561970"/>
            <w:bookmarkEnd w:id="4"/>
            <w:r w:rsidRPr="00342951">
              <w:rPr>
                <w:rFonts w:ascii="Times New Roman" w:eastAsia="Calibri" w:hAnsi="Times New Roman" w:cs="Times New Roman"/>
                <w:bCs w:val="0"/>
                <w:color w:val="000000"/>
                <w:sz w:val="21"/>
                <w:szCs w:val="21"/>
                <w:lang w:eastAsia="en-US"/>
              </w:rPr>
              <w:t>b) 103,82 zł/GJ netto dla ciepła wytwarzanego w pozostałych źródłach ciepła;</w:t>
            </w:r>
          </w:p>
          <w:p w14:paraId="624CA5B2" w14:textId="77777777" w:rsidR="001D7F53" w:rsidRPr="00342951" w:rsidRDefault="001D7F53" w:rsidP="00180F9D">
            <w:pPr>
              <w:pStyle w:val="PKTpunkt"/>
              <w:spacing w:line="240" w:lineRule="auto"/>
              <w:rPr>
                <w:rFonts w:ascii="Times New Roman" w:eastAsia="Calibri" w:hAnsi="Times New Roman" w:cs="Times New Roman"/>
                <w:bCs w:val="0"/>
                <w:color w:val="000000"/>
                <w:sz w:val="21"/>
                <w:szCs w:val="21"/>
                <w:lang w:eastAsia="en-US"/>
              </w:rPr>
            </w:pPr>
            <w:r w:rsidRPr="00342951">
              <w:rPr>
                <w:rFonts w:ascii="Times New Roman" w:eastAsia="Calibri" w:hAnsi="Times New Roman" w:cs="Times New Roman"/>
                <w:bCs w:val="0"/>
                <w:color w:val="000000"/>
                <w:sz w:val="21"/>
                <w:szCs w:val="21"/>
                <w:lang w:eastAsia="en-US"/>
              </w:rPr>
              <w:t>- począwszy od 1 lipca 2024 r. dla wszystkich źródeł ciepła:</w:t>
            </w:r>
          </w:p>
          <w:p w14:paraId="317D7CAD" w14:textId="77777777" w:rsidR="001D7F53" w:rsidRPr="00342951" w:rsidRDefault="001D7F53" w:rsidP="00180F9D">
            <w:pPr>
              <w:autoSpaceDE w:val="0"/>
              <w:autoSpaceDN w:val="0"/>
              <w:spacing w:line="240" w:lineRule="auto"/>
              <w:ind w:left="510"/>
              <w:jc w:val="both"/>
              <w:rPr>
                <w:rFonts w:ascii="Times New Roman" w:hAnsi="Times New Roman"/>
                <w:color w:val="000000"/>
                <w:sz w:val="21"/>
                <w:szCs w:val="21"/>
              </w:rPr>
            </w:pPr>
            <w:r w:rsidRPr="00342951">
              <w:rPr>
                <w:rFonts w:ascii="Times New Roman" w:hAnsi="Times New Roman"/>
                <w:color w:val="000000"/>
                <w:sz w:val="21"/>
                <w:szCs w:val="21"/>
              </w:rPr>
              <w:t xml:space="preserve">a)  od dnia 1 lipca 2024 r do dnia 31 grudnia 2024 r. zastosowanie znajdzie kwota 119,39 zł/GJ netto, </w:t>
            </w:r>
          </w:p>
          <w:p w14:paraId="3624B89D" w14:textId="77777777" w:rsidR="001D7F53" w:rsidRPr="00342951" w:rsidRDefault="001D7F53" w:rsidP="00180F9D">
            <w:pPr>
              <w:autoSpaceDE w:val="0"/>
              <w:autoSpaceDN w:val="0"/>
              <w:spacing w:line="240" w:lineRule="auto"/>
              <w:ind w:left="510"/>
              <w:jc w:val="both"/>
              <w:rPr>
                <w:rFonts w:ascii="Times New Roman" w:hAnsi="Times New Roman"/>
                <w:color w:val="000000"/>
                <w:sz w:val="21"/>
                <w:szCs w:val="21"/>
              </w:rPr>
            </w:pPr>
            <w:r w:rsidRPr="00342951">
              <w:rPr>
                <w:rFonts w:ascii="Times New Roman" w:hAnsi="Times New Roman"/>
                <w:color w:val="000000"/>
                <w:sz w:val="21"/>
                <w:szCs w:val="21"/>
              </w:rPr>
              <w:t xml:space="preserve">b) od dnia 1 stycznia 2025 r. do dnia 30 czerwca 2025 r. zastosowanie znajdzie kwota 134,97 zł /GJ netto. </w:t>
            </w:r>
          </w:p>
          <w:p w14:paraId="6CBA3C2C" w14:textId="6B785055" w:rsidR="008C2F37" w:rsidRPr="00136490" w:rsidRDefault="008C2F37" w:rsidP="00180F9D">
            <w:pPr>
              <w:spacing w:after="240" w:line="240" w:lineRule="auto"/>
              <w:jc w:val="both"/>
              <w:rPr>
                <w:rFonts w:ascii="Times New Roman" w:eastAsia="Helvetica" w:hAnsi="Times New Roman"/>
                <w:bCs/>
                <w:sz w:val="21"/>
                <w:szCs w:val="21"/>
              </w:rPr>
            </w:pPr>
            <w:r w:rsidRPr="00136490">
              <w:rPr>
                <w:rFonts w:ascii="Times New Roman" w:eastAsia="Helvetica" w:hAnsi="Times New Roman"/>
                <w:bCs/>
                <w:sz w:val="21"/>
                <w:szCs w:val="21"/>
              </w:rPr>
              <w:t>W rozliczeniach z odbiorcami przedsiębiorstw</w:t>
            </w:r>
            <w:r>
              <w:rPr>
                <w:rFonts w:ascii="Times New Roman" w:eastAsia="Helvetica" w:hAnsi="Times New Roman"/>
                <w:bCs/>
                <w:sz w:val="21"/>
                <w:szCs w:val="21"/>
              </w:rPr>
              <w:t>a</w:t>
            </w:r>
            <w:r w:rsidRPr="00136490">
              <w:rPr>
                <w:rFonts w:ascii="Times New Roman" w:eastAsia="Helvetica" w:hAnsi="Times New Roman"/>
                <w:bCs/>
                <w:sz w:val="21"/>
                <w:szCs w:val="21"/>
              </w:rPr>
              <w:t xml:space="preserve"> będ</w:t>
            </w:r>
            <w:r>
              <w:rPr>
                <w:rFonts w:ascii="Times New Roman" w:eastAsia="Helvetica" w:hAnsi="Times New Roman"/>
                <w:bCs/>
                <w:sz w:val="21"/>
                <w:szCs w:val="21"/>
              </w:rPr>
              <w:t xml:space="preserve">ą nadal zobligowane do stosowania </w:t>
            </w:r>
            <w:r w:rsidRPr="00136490">
              <w:rPr>
                <w:rFonts w:ascii="Times New Roman" w:eastAsia="Helvetica" w:hAnsi="Times New Roman"/>
                <w:bCs/>
                <w:sz w:val="21"/>
                <w:szCs w:val="21"/>
              </w:rPr>
              <w:t xml:space="preserve"> cen</w:t>
            </w:r>
            <w:r>
              <w:rPr>
                <w:rFonts w:ascii="Times New Roman" w:eastAsia="Helvetica" w:hAnsi="Times New Roman"/>
                <w:bCs/>
                <w:sz w:val="21"/>
                <w:szCs w:val="21"/>
              </w:rPr>
              <w:t>y</w:t>
            </w:r>
            <w:r w:rsidRPr="00136490">
              <w:rPr>
                <w:rFonts w:ascii="Times New Roman" w:eastAsia="Helvetica" w:hAnsi="Times New Roman"/>
                <w:bCs/>
                <w:sz w:val="21"/>
                <w:szCs w:val="21"/>
              </w:rPr>
              <w:t xml:space="preserve"> najkorzystniejsz</w:t>
            </w:r>
            <w:r>
              <w:rPr>
                <w:rFonts w:ascii="Times New Roman" w:eastAsia="Helvetica" w:hAnsi="Times New Roman"/>
                <w:bCs/>
                <w:sz w:val="21"/>
                <w:szCs w:val="21"/>
              </w:rPr>
              <w:t>ej</w:t>
            </w:r>
            <w:r w:rsidRPr="00136490">
              <w:rPr>
                <w:rFonts w:ascii="Times New Roman" w:eastAsia="Helvetica" w:hAnsi="Times New Roman"/>
                <w:bCs/>
                <w:sz w:val="21"/>
                <w:szCs w:val="21"/>
              </w:rPr>
              <w:t xml:space="preserve"> dla odbiorc</w:t>
            </w:r>
            <w:r>
              <w:rPr>
                <w:rFonts w:ascii="Times New Roman" w:eastAsia="Helvetica" w:hAnsi="Times New Roman"/>
                <w:bCs/>
                <w:sz w:val="21"/>
                <w:szCs w:val="21"/>
              </w:rPr>
              <w:t>ów, o których mowa w art. 4 ust. 1</w:t>
            </w:r>
            <w:r w:rsidRPr="00136490">
              <w:rPr>
                <w:rFonts w:ascii="Times New Roman" w:eastAsia="Helvetica" w:hAnsi="Times New Roman"/>
                <w:bCs/>
                <w:sz w:val="21"/>
                <w:szCs w:val="21"/>
              </w:rPr>
              <w:t>.</w:t>
            </w:r>
          </w:p>
          <w:p w14:paraId="41E1F71C" w14:textId="1ACEA944" w:rsidR="001D7F53" w:rsidRPr="00342951" w:rsidRDefault="001D7F53" w:rsidP="00180F9D">
            <w:pPr>
              <w:autoSpaceDE w:val="0"/>
              <w:autoSpaceDN w:val="0"/>
              <w:spacing w:after="240" w:line="240" w:lineRule="auto"/>
              <w:jc w:val="both"/>
              <w:rPr>
                <w:rFonts w:ascii="Times New Roman" w:hAnsi="Times New Roman"/>
                <w:color w:val="000000"/>
                <w:sz w:val="21"/>
                <w:szCs w:val="21"/>
              </w:rPr>
            </w:pPr>
            <w:r w:rsidRPr="00342951">
              <w:rPr>
                <w:rFonts w:ascii="Times New Roman" w:hAnsi="Times New Roman"/>
                <w:color w:val="000000"/>
                <w:sz w:val="21"/>
                <w:szCs w:val="21"/>
              </w:rPr>
              <w:t xml:space="preserve">3. </w:t>
            </w:r>
            <w:r w:rsidR="00191DB6">
              <w:rPr>
                <w:rFonts w:ascii="Times New Roman" w:hAnsi="Times New Roman"/>
                <w:color w:val="000000"/>
                <w:sz w:val="21"/>
                <w:szCs w:val="21"/>
              </w:rPr>
              <w:t>Z</w:t>
            </w:r>
            <w:r w:rsidRPr="00342951">
              <w:rPr>
                <w:rFonts w:ascii="Times New Roman" w:hAnsi="Times New Roman"/>
                <w:color w:val="000000"/>
                <w:sz w:val="21"/>
                <w:szCs w:val="21"/>
              </w:rPr>
              <w:t xml:space="preserve">aproponowano zmianę definicji pojęcia maksymalnej ceny dostawy ciepła, wprowadzając do słowniczka wyszczególnienie wysokości wzrostu cen i stawek we wskazanych okresach ich stosowania. </w:t>
            </w:r>
          </w:p>
          <w:p w14:paraId="14D1D27A" w14:textId="77777777" w:rsidR="001D7F53" w:rsidRPr="00342951" w:rsidRDefault="001D7F53" w:rsidP="00180F9D">
            <w:pPr>
              <w:pStyle w:val="ZPKTzmpktartykuempunktem"/>
              <w:spacing w:line="240" w:lineRule="auto"/>
              <w:ind w:left="494"/>
              <w:rPr>
                <w:rFonts w:ascii="Times New Roman" w:eastAsia="Calibri" w:hAnsi="Times New Roman" w:cs="Times New Roman"/>
                <w:bCs w:val="0"/>
                <w:color w:val="000000"/>
                <w:sz w:val="21"/>
                <w:szCs w:val="21"/>
                <w:lang w:eastAsia="en-US"/>
              </w:rPr>
            </w:pPr>
            <w:r w:rsidRPr="00342951">
              <w:rPr>
                <w:rFonts w:ascii="Times New Roman" w:eastAsia="Calibri" w:hAnsi="Times New Roman" w:cs="Times New Roman"/>
                <w:bCs w:val="0"/>
                <w:color w:val="000000"/>
                <w:sz w:val="21"/>
                <w:szCs w:val="21"/>
                <w:lang w:eastAsia="en-US"/>
              </w:rPr>
              <w:t>4. Projekt zmiany ustawy powiela obowiązujące regulacje w zakresie stosowanych:</w:t>
            </w:r>
          </w:p>
          <w:p w14:paraId="50845BF9" w14:textId="77777777" w:rsidR="001D7F53" w:rsidRPr="00342951" w:rsidRDefault="001D7F53" w:rsidP="00180F9D">
            <w:pPr>
              <w:pStyle w:val="ZPKTzmpktartykuempunktem"/>
              <w:spacing w:line="240" w:lineRule="auto"/>
              <w:rPr>
                <w:rFonts w:ascii="Times New Roman" w:eastAsia="Calibri" w:hAnsi="Times New Roman" w:cs="Times New Roman"/>
                <w:bCs w:val="0"/>
                <w:color w:val="000000"/>
                <w:sz w:val="21"/>
                <w:szCs w:val="21"/>
                <w:lang w:eastAsia="en-US"/>
              </w:rPr>
            </w:pPr>
            <w:r w:rsidRPr="00342951">
              <w:rPr>
                <w:rFonts w:ascii="Times New Roman" w:eastAsia="Calibri" w:hAnsi="Times New Roman" w:cs="Times New Roman"/>
                <w:bCs w:val="0"/>
                <w:color w:val="000000"/>
                <w:sz w:val="21"/>
                <w:szCs w:val="21"/>
                <w:lang w:eastAsia="en-US"/>
              </w:rPr>
              <w:t>a) art. 3a – poprzez wprowadzenie nowego 3b,</w:t>
            </w:r>
          </w:p>
          <w:p w14:paraId="00C94E81" w14:textId="77777777" w:rsidR="001D7F53" w:rsidRPr="00342951" w:rsidRDefault="001D7F53" w:rsidP="00180F9D">
            <w:pPr>
              <w:pStyle w:val="ZPKTzmpktartykuempunktem"/>
              <w:spacing w:line="240" w:lineRule="auto"/>
              <w:rPr>
                <w:rFonts w:ascii="Times New Roman" w:eastAsia="Calibri" w:hAnsi="Times New Roman" w:cs="Times New Roman"/>
                <w:bCs w:val="0"/>
                <w:color w:val="000000"/>
                <w:sz w:val="21"/>
                <w:szCs w:val="21"/>
                <w:lang w:eastAsia="en-US"/>
              </w:rPr>
            </w:pPr>
            <w:r w:rsidRPr="00342951">
              <w:rPr>
                <w:rFonts w:ascii="Times New Roman" w:eastAsia="Calibri" w:hAnsi="Times New Roman" w:cs="Times New Roman"/>
                <w:bCs w:val="0"/>
                <w:color w:val="000000"/>
                <w:sz w:val="21"/>
                <w:szCs w:val="21"/>
                <w:lang w:eastAsia="en-US"/>
              </w:rPr>
              <w:t>b) art. 11 ust. 3 - poprzez dodanie nowego ust. 4,</w:t>
            </w:r>
          </w:p>
          <w:p w14:paraId="45D565AF" w14:textId="77777777" w:rsidR="001D7F53" w:rsidRPr="00342951" w:rsidRDefault="001D7F53" w:rsidP="00180F9D">
            <w:pPr>
              <w:pStyle w:val="ZPKTzmpktartykuempunktem"/>
              <w:spacing w:line="240" w:lineRule="auto"/>
              <w:rPr>
                <w:rFonts w:ascii="Times New Roman" w:eastAsia="Calibri" w:hAnsi="Times New Roman" w:cs="Times New Roman"/>
                <w:bCs w:val="0"/>
                <w:color w:val="000000"/>
                <w:sz w:val="21"/>
                <w:szCs w:val="21"/>
                <w:lang w:eastAsia="en-US"/>
              </w:rPr>
            </w:pPr>
            <w:r w:rsidRPr="00342951">
              <w:rPr>
                <w:rFonts w:ascii="Times New Roman" w:eastAsia="Calibri" w:hAnsi="Times New Roman" w:cs="Times New Roman"/>
                <w:bCs w:val="0"/>
                <w:color w:val="000000"/>
                <w:sz w:val="21"/>
                <w:szCs w:val="21"/>
                <w:lang w:eastAsia="en-US"/>
              </w:rPr>
              <w:t>c) art. 12a – poprzez wprowadzenie nowego art. 12aa,</w:t>
            </w:r>
          </w:p>
          <w:p w14:paraId="26AAB49B" w14:textId="77777777" w:rsidR="001D7F53" w:rsidRPr="00342951" w:rsidRDefault="001D7F53" w:rsidP="00180F9D">
            <w:pPr>
              <w:pStyle w:val="ZPKTzmpktartykuempunktem"/>
              <w:spacing w:after="240" w:line="240" w:lineRule="auto"/>
              <w:rPr>
                <w:rFonts w:ascii="Times New Roman" w:eastAsia="Calibri" w:hAnsi="Times New Roman" w:cs="Times New Roman"/>
                <w:bCs w:val="0"/>
                <w:color w:val="000000"/>
                <w:sz w:val="21"/>
                <w:szCs w:val="21"/>
                <w:lang w:eastAsia="en-US"/>
              </w:rPr>
            </w:pPr>
            <w:r w:rsidRPr="00342951">
              <w:rPr>
                <w:rFonts w:ascii="Times New Roman" w:eastAsia="Calibri" w:hAnsi="Times New Roman" w:cs="Times New Roman"/>
                <w:bCs w:val="0"/>
                <w:color w:val="000000"/>
                <w:sz w:val="21"/>
                <w:szCs w:val="21"/>
                <w:lang w:eastAsia="en-US"/>
              </w:rPr>
              <w:t>d) art. 12b – w zakresie przepisów dotyczących składania wniosków o rozliczenie wyrównania.</w:t>
            </w:r>
          </w:p>
          <w:p w14:paraId="7DDF6EEE" w14:textId="77777777" w:rsidR="001D7F53" w:rsidRPr="00342951" w:rsidRDefault="001D7F53" w:rsidP="00180F9D">
            <w:pPr>
              <w:spacing w:line="240" w:lineRule="auto"/>
              <w:jc w:val="both"/>
              <w:rPr>
                <w:rFonts w:ascii="Times New Roman" w:hAnsi="Times New Roman"/>
                <w:color w:val="000000"/>
                <w:sz w:val="21"/>
                <w:szCs w:val="21"/>
              </w:rPr>
            </w:pPr>
            <w:r w:rsidRPr="00342951">
              <w:rPr>
                <w:rFonts w:ascii="Times New Roman" w:hAnsi="Times New Roman"/>
                <w:color w:val="000000"/>
                <w:sz w:val="21"/>
                <w:szCs w:val="21"/>
              </w:rPr>
              <w:t xml:space="preserve">5. Zaproponowana treść w nowym art. 23a powiela zastosowane rozwiązanie w art. 23 uwzględniając wprowadzenie nowoprojektowanego art. 3b, zarazem zdejmując z przedstawicieli wspólnot mieszkaniowych, spółdzielni mieszkaniowych i innych podmiotów, o których mowa w ustawie, obowiązek niezwłocznego zastosowania obniżonej ceny oraz zawiadamiania o tym fakcie odbiorców uprawnionych. </w:t>
            </w:r>
          </w:p>
          <w:p w14:paraId="7FAF8B61" w14:textId="77777777" w:rsidR="001D7F53" w:rsidRPr="00342951" w:rsidRDefault="001D7F53" w:rsidP="00180F9D">
            <w:pPr>
              <w:spacing w:after="240" w:line="240" w:lineRule="auto"/>
              <w:jc w:val="both"/>
              <w:rPr>
                <w:rFonts w:ascii="Times New Roman" w:hAnsi="Times New Roman"/>
                <w:color w:val="000000"/>
                <w:sz w:val="21"/>
                <w:szCs w:val="21"/>
              </w:rPr>
            </w:pPr>
            <w:r w:rsidRPr="00342951">
              <w:rPr>
                <w:rFonts w:ascii="Times New Roman" w:hAnsi="Times New Roman"/>
                <w:color w:val="000000"/>
                <w:sz w:val="21"/>
                <w:szCs w:val="21"/>
              </w:rPr>
              <w:t xml:space="preserve">Zgodnie z intencją projektodawcy, zasadnym jest utrzymanie obowiązku nałożonego na wskazane wyżej podmioty uwzględnienia w określonych terminach w zaliczkach na poczet rozliczenia kosztów zakupu ciepła na potrzeby ogrzewania i przygotowania ciepłej wody użytkowej dostarczonego do lokali mieszkalnych gospodarstw domowych lub podmiotów, o których mowa w art. 4 ust. 1 pkt 4 ustawy, obniżonej opłaty za ciepło wynikającej z maksymalnej ceny dostawy ciepła albo najniższej ceny ciepła. Jednakże intencją projektodawcy jest też, aby proces informowania w sposób zwyczajowo przyjęty w </w:t>
            </w:r>
            <w:r w:rsidRPr="00342951">
              <w:rPr>
                <w:rFonts w:ascii="Times New Roman" w:hAnsi="Times New Roman"/>
                <w:color w:val="000000"/>
                <w:sz w:val="21"/>
                <w:szCs w:val="21"/>
              </w:rPr>
              <w:lastRenderedPageBreak/>
              <w:t>danej wspólnocie lub spółdzielni zapewnił mieszkańcom właściwy dostęp do stosownych danych. W związku z powyższą zmianą, zaproponowano odpowiednią modyfikację treści art. 36.</w:t>
            </w:r>
          </w:p>
          <w:p w14:paraId="0C83103D" w14:textId="77777777" w:rsidR="001D7F53" w:rsidRPr="00342951" w:rsidRDefault="001D7F53" w:rsidP="00180F9D">
            <w:pPr>
              <w:spacing w:line="240" w:lineRule="auto"/>
              <w:jc w:val="both"/>
              <w:rPr>
                <w:rFonts w:ascii="Times New Roman" w:hAnsi="Times New Roman"/>
                <w:color w:val="000000"/>
                <w:sz w:val="21"/>
                <w:szCs w:val="21"/>
              </w:rPr>
            </w:pPr>
            <w:r w:rsidRPr="00342951">
              <w:rPr>
                <w:rFonts w:ascii="Times New Roman" w:hAnsi="Times New Roman"/>
                <w:color w:val="000000"/>
                <w:sz w:val="21"/>
                <w:szCs w:val="21"/>
              </w:rPr>
              <w:t xml:space="preserve">6. Włączenie do ustawy nowych regulacji w zakresie art. 59b podyktowane jest potrzebą nałożenia na wytwórcę ciepła obowiązku przekazywania potrzebnych informacji sprzedawcy na jego wniosek. Chodzi o informacje na temat stosowanej we wskazanym okresie cenie ciepła, cenie za zamówioną moc cieplną oraz cenie nośnika ciepła lub stawce opłaty miesięcznej za zamówioną moc cieplną i stawce opłaty za ciepło w wysokości odpowiadającej średniej cenie wytwarzania ciepła z rekompensatą, za każdy miesiąc. </w:t>
            </w:r>
          </w:p>
          <w:p w14:paraId="1B129B5A" w14:textId="77777777" w:rsidR="001D7F53" w:rsidRPr="00342951" w:rsidRDefault="001D7F53" w:rsidP="00180F9D">
            <w:pPr>
              <w:spacing w:line="240" w:lineRule="auto"/>
              <w:jc w:val="both"/>
              <w:rPr>
                <w:rFonts w:ascii="Times New Roman" w:hAnsi="Times New Roman"/>
                <w:color w:val="000000"/>
                <w:sz w:val="21"/>
                <w:szCs w:val="21"/>
              </w:rPr>
            </w:pPr>
          </w:p>
          <w:p w14:paraId="63A332BE" w14:textId="77777777" w:rsidR="001D7F53" w:rsidRPr="00342951" w:rsidRDefault="001D7F53" w:rsidP="00180F9D">
            <w:pPr>
              <w:spacing w:line="240" w:lineRule="auto"/>
              <w:ind w:left="720"/>
              <w:jc w:val="both"/>
              <w:rPr>
                <w:rFonts w:ascii="Times New Roman" w:hAnsi="Times New Roman"/>
                <w:color w:val="000000"/>
                <w:sz w:val="21"/>
                <w:szCs w:val="21"/>
              </w:rPr>
            </w:pPr>
          </w:p>
          <w:p w14:paraId="6687475A" w14:textId="01E1E2BE" w:rsidR="002A16CF" w:rsidRPr="00425769" w:rsidRDefault="002A16CF" w:rsidP="00180F9D">
            <w:pPr>
              <w:spacing w:after="120" w:line="240" w:lineRule="auto"/>
              <w:jc w:val="both"/>
              <w:rPr>
                <w:rFonts w:ascii="Times New Roman" w:hAnsi="Times New Roman"/>
                <w:b/>
                <w:bCs/>
                <w:color w:val="000000"/>
                <w:sz w:val="21"/>
                <w:szCs w:val="21"/>
              </w:rPr>
            </w:pPr>
            <w:r w:rsidRPr="00425769">
              <w:rPr>
                <w:rFonts w:ascii="Times New Roman" w:hAnsi="Times New Roman"/>
                <w:b/>
                <w:bCs/>
                <w:color w:val="000000"/>
                <w:sz w:val="21"/>
                <w:szCs w:val="21"/>
              </w:rPr>
              <w:t>Zmiany techniczne do ustaw chroniących odbiorców energii</w:t>
            </w:r>
          </w:p>
          <w:p w14:paraId="1F07270C" w14:textId="6D6F6BCB" w:rsidR="002E0096" w:rsidRPr="0066079A" w:rsidRDefault="002E0096" w:rsidP="00180F9D">
            <w:pPr>
              <w:spacing w:after="120" w:line="240" w:lineRule="auto"/>
              <w:jc w:val="both"/>
              <w:rPr>
                <w:rFonts w:ascii="Times New Roman" w:hAnsi="Times New Roman"/>
                <w:sz w:val="21"/>
                <w:szCs w:val="21"/>
              </w:rPr>
            </w:pPr>
            <w:r w:rsidRPr="0066079A">
              <w:rPr>
                <w:rFonts w:ascii="Times New Roman" w:hAnsi="Times New Roman"/>
                <w:sz w:val="21"/>
                <w:szCs w:val="21"/>
              </w:rPr>
              <w:t>W projekcie ustawy proponuje się doprecyzowanie przepisów ustaw wprowadzających mechanizmy ochronne dla odbiorców energii elektrycznej, paliw gazowych i ciepła w 2023 r. oraz w 2024 r. w zakresie m.in.:</w:t>
            </w:r>
          </w:p>
          <w:p w14:paraId="7071B339" w14:textId="30FE43C7" w:rsidR="002E0096" w:rsidRPr="0066079A" w:rsidRDefault="002E0096" w:rsidP="00180F9D">
            <w:pPr>
              <w:numPr>
                <w:ilvl w:val="0"/>
                <w:numId w:val="35"/>
              </w:numPr>
              <w:spacing w:after="120" w:line="240" w:lineRule="auto"/>
              <w:jc w:val="both"/>
              <w:rPr>
                <w:rFonts w:ascii="Times New Roman" w:hAnsi="Times New Roman"/>
                <w:sz w:val="21"/>
                <w:szCs w:val="21"/>
              </w:rPr>
            </w:pPr>
            <w:r w:rsidRPr="0066079A">
              <w:rPr>
                <w:rFonts w:ascii="Times New Roman" w:hAnsi="Times New Roman"/>
                <w:sz w:val="21"/>
                <w:szCs w:val="21"/>
              </w:rPr>
              <w:t>usprawnienia realizacji wypłat rekompensat dla podmiotów uprawnionych przez Zarządcę Rozliczeń S.A. z tytułu stosowania przez te podmioty mechanizmów osłonowych w zakresie cen energii elektrycznej i gazu (w</w:t>
            </w:r>
            <w:r w:rsidR="007A06C5" w:rsidRPr="0066079A">
              <w:rPr>
                <w:rFonts w:ascii="Times New Roman" w:hAnsi="Times New Roman"/>
                <w:sz w:val="21"/>
                <w:szCs w:val="21"/>
              </w:rPr>
              <w:t> </w:t>
            </w:r>
            <w:r w:rsidRPr="0066079A">
              <w:rPr>
                <w:rFonts w:ascii="Times New Roman" w:hAnsi="Times New Roman"/>
                <w:sz w:val="21"/>
                <w:szCs w:val="21"/>
              </w:rPr>
              <w:t>szczególności uporządkowanie terminów na składanie różnych rodzajów wniosków, aby uniknąć ich kumulacji w określonych terminach),</w:t>
            </w:r>
          </w:p>
          <w:p w14:paraId="54F596EE" w14:textId="6E4BE021" w:rsidR="002E0096" w:rsidRPr="0066079A" w:rsidRDefault="002E0096" w:rsidP="00180F9D">
            <w:pPr>
              <w:numPr>
                <w:ilvl w:val="0"/>
                <w:numId w:val="35"/>
              </w:numPr>
              <w:spacing w:after="120" w:line="240" w:lineRule="auto"/>
              <w:jc w:val="both"/>
              <w:rPr>
                <w:rFonts w:ascii="Times New Roman" w:hAnsi="Times New Roman"/>
                <w:sz w:val="21"/>
                <w:szCs w:val="21"/>
              </w:rPr>
            </w:pPr>
            <w:r w:rsidRPr="0066079A">
              <w:rPr>
                <w:rFonts w:ascii="Times New Roman" w:hAnsi="Times New Roman"/>
                <w:sz w:val="21"/>
                <w:szCs w:val="21"/>
              </w:rPr>
              <w:t>doprecyzowania i uzupełnienia przepisów umożliwiających stosowanie przez sprzedawców upustu na rachunku w</w:t>
            </w:r>
            <w:r w:rsidR="007A06C5" w:rsidRPr="0066079A">
              <w:rPr>
                <w:rFonts w:ascii="Times New Roman" w:hAnsi="Times New Roman"/>
                <w:sz w:val="21"/>
                <w:szCs w:val="21"/>
              </w:rPr>
              <w:t> </w:t>
            </w:r>
            <w:r w:rsidRPr="0066079A">
              <w:rPr>
                <w:rFonts w:ascii="Times New Roman" w:hAnsi="Times New Roman"/>
                <w:sz w:val="21"/>
                <w:szCs w:val="21"/>
              </w:rPr>
              <w:t>rozliczeniach z odbiorcami energii elektrycznej w roku 2024 z tytułu oszczędnego zużycia tej energii (m.in. uzupełnienia w zakresie pozyskiwania danych pomiarowych od operatorów systemów dystrybucyjnych potwierdzających redukcję zużycia oraz doprecyzowanie terminów na wypłatę upustu i sposobu jego obliczania dla prosumentów),</w:t>
            </w:r>
          </w:p>
          <w:p w14:paraId="5A60EB17" w14:textId="1DF4C6F0" w:rsidR="00066FC1" w:rsidRPr="00B63393" w:rsidRDefault="002E0096" w:rsidP="00180F9D">
            <w:pPr>
              <w:numPr>
                <w:ilvl w:val="0"/>
                <w:numId w:val="35"/>
              </w:numPr>
              <w:spacing w:after="120" w:line="240" w:lineRule="auto"/>
              <w:jc w:val="both"/>
              <w:rPr>
                <w:rFonts w:ascii="Times New Roman" w:hAnsi="Times New Roman"/>
                <w:color w:val="156082" w:themeColor="accent1"/>
                <w:sz w:val="21"/>
                <w:szCs w:val="21"/>
              </w:rPr>
            </w:pPr>
            <w:r w:rsidRPr="0066079A">
              <w:rPr>
                <w:rFonts w:ascii="Times New Roman" w:hAnsi="Times New Roman"/>
                <w:sz w:val="21"/>
                <w:szCs w:val="21"/>
              </w:rPr>
              <w:t>uzupełnienie przepisów dotyczących sprawozdań częściowych i końcowego, a także zapewnienie efektywności funkcjonowania obowiązku odpisu na Fundusz dla wszystkich podmiotów zobowiązanych do dokonania odpisu na Fundusz (m.in. doregulowanie kompetencji Prezesa Urzędu Regulacji Energetyki w zakresie kontroli podmiotów objętych obowiązkiem odpisu na Fundusz oraz uzupełnienie przepisów dotyczących stosowania przepisów realizacji obowiązku odpisu na Fundusz w przypadku braku sprawozdań częściowych i końcowego).</w:t>
            </w:r>
          </w:p>
          <w:p w14:paraId="5327C4D2" w14:textId="77777777" w:rsidR="00066FC1" w:rsidRPr="00066FC1" w:rsidRDefault="00066FC1" w:rsidP="00180F9D">
            <w:pPr>
              <w:spacing w:line="240" w:lineRule="auto"/>
              <w:jc w:val="both"/>
              <w:rPr>
                <w:rFonts w:ascii="Times New Roman" w:hAnsi="Times New Roman"/>
                <w:b/>
                <w:bCs/>
                <w:color w:val="000000"/>
                <w:spacing w:val="-2"/>
                <w:sz w:val="21"/>
                <w:szCs w:val="21"/>
              </w:rPr>
            </w:pPr>
            <w:r w:rsidRPr="00066FC1">
              <w:rPr>
                <w:rFonts w:ascii="Times New Roman" w:hAnsi="Times New Roman"/>
                <w:b/>
                <w:bCs/>
                <w:color w:val="000000"/>
                <w:spacing w:val="-2"/>
                <w:sz w:val="21"/>
                <w:szCs w:val="21"/>
              </w:rPr>
              <w:t>Zmiany w innych ustawach:</w:t>
            </w:r>
          </w:p>
          <w:p w14:paraId="39DB6AEA" w14:textId="77777777" w:rsidR="005F4DFD" w:rsidRDefault="005F4DFD" w:rsidP="00180F9D">
            <w:pPr>
              <w:numPr>
                <w:ilvl w:val="0"/>
                <w:numId w:val="35"/>
              </w:numPr>
              <w:spacing w:after="120" w:line="240" w:lineRule="auto"/>
              <w:jc w:val="both"/>
              <w:rPr>
                <w:rFonts w:ascii="Times New Roman" w:hAnsi="Times New Roman"/>
                <w:sz w:val="21"/>
                <w:szCs w:val="21"/>
              </w:rPr>
            </w:pPr>
            <w:r w:rsidRPr="00B63393">
              <w:rPr>
                <w:rFonts w:ascii="Times New Roman" w:hAnsi="Times New Roman"/>
                <w:sz w:val="21"/>
                <w:szCs w:val="21"/>
              </w:rPr>
              <w:t xml:space="preserve">Zmiana w ustawie z dnia 16 lutego 2007 r. o zapasach ropy naftowej, produktów naftowych i gazu ziemnego oraz zasadach postępowania w sytuacjach zagrożenia bezpieczeństwa paliwowego państwa i zakłóceń na rynku naftowym – </w:t>
            </w:r>
            <w:r>
              <w:rPr>
                <w:rFonts w:ascii="Times New Roman" w:hAnsi="Times New Roman"/>
                <w:sz w:val="21"/>
                <w:szCs w:val="21"/>
              </w:rPr>
              <w:t>(Dz. U z 2023 r. poz. 1650</w:t>
            </w:r>
            <w:r w:rsidRPr="00DE7D5A">
              <w:rPr>
                <w:rFonts w:ascii="Times New Roman" w:hAnsi="Times New Roman"/>
                <w:sz w:val="21"/>
                <w:szCs w:val="21"/>
              </w:rPr>
              <w:t xml:space="preserve">, z </w:t>
            </w:r>
            <w:proofErr w:type="spellStart"/>
            <w:r w:rsidRPr="00DE7D5A">
              <w:rPr>
                <w:rFonts w:ascii="Times New Roman" w:hAnsi="Times New Roman"/>
                <w:sz w:val="21"/>
                <w:szCs w:val="21"/>
              </w:rPr>
              <w:t>późn</w:t>
            </w:r>
            <w:proofErr w:type="spellEnd"/>
            <w:r w:rsidRPr="00DE7D5A">
              <w:rPr>
                <w:rFonts w:ascii="Times New Roman" w:hAnsi="Times New Roman"/>
                <w:sz w:val="21"/>
                <w:szCs w:val="21"/>
              </w:rPr>
              <w:t>. zm.</w:t>
            </w:r>
            <w:r>
              <w:rPr>
                <w:rFonts w:ascii="Times New Roman" w:hAnsi="Times New Roman"/>
                <w:sz w:val="21"/>
                <w:szCs w:val="21"/>
              </w:rPr>
              <w:t xml:space="preserve">) </w:t>
            </w:r>
          </w:p>
          <w:p w14:paraId="31A161FC" w14:textId="77777777" w:rsidR="005F4DFD" w:rsidRDefault="005F4DFD" w:rsidP="00180F9D">
            <w:pPr>
              <w:pStyle w:val="Akapitzlist"/>
              <w:numPr>
                <w:ilvl w:val="0"/>
                <w:numId w:val="41"/>
              </w:numPr>
              <w:spacing w:after="120" w:line="240" w:lineRule="auto"/>
              <w:jc w:val="both"/>
              <w:rPr>
                <w:rFonts w:ascii="Times New Roman" w:hAnsi="Times New Roman"/>
                <w:sz w:val="21"/>
                <w:szCs w:val="21"/>
              </w:rPr>
            </w:pPr>
            <w:r w:rsidRPr="00E50604">
              <w:rPr>
                <w:rFonts w:ascii="Times New Roman" w:hAnsi="Times New Roman"/>
                <w:sz w:val="21"/>
                <w:szCs w:val="21"/>
              </w:rPr>
              <w:t>przedłużenie możliwości zlecenia utrzymywania zapasów obowiązkowych gazu ziemnego Rządowej Agencji Rezerw Strategicznych</w:t>
            </w:r>
            <w:r>
              <w:rPr>
                <w:rFonts w:ascii="Times New Roman" w:hAnsi="Times New Roman"/>
                <w:sz w:val="21"/>
                <w:szCs w:val="21"/>
              </w:rPr>
              <w:t xml:space="preserve"> – z tego tytułu nie powstaną skutki finansowe dla sektora finansów publicznych. </w:t>
            </w:r>
          </w:p>
          <w:p w14:paraId="60C72628" w14:textId="24FBEED3" w:rsidR="005F4DFD" w:rsidRPr="00B63393" w:rsidRDefault="005F4DFD" w:rsidP="00180F9D">
            <w:pPr>
              <w:pStyle w:val="Akapitzlist"/>
              <w:spacing w:after="120" w:line="240" w:lineRule="auto"/>
              <w:ind w:left="1440"/>
              <w:jc w:val="both"/>
              <w:rPr>
                <w:rFonts w:ascii="Times New Roman" w:hAnsi="Times New Roman"/>
                <w:sz w:val="21"/>
                <w:szCs w:val="21"/>
              </w:rPr>
            </w:pPr>
            <w:r>
              <w:rPr>
                <w:rFonts w:ascii="Times New Roman" w:hAnsi="Times New Roman"/>
                <w:sz w:val="21"/>
                <w:szCs w:val="21"/>
              </w:rPr>
              <w:t xml:space="preserve">Koszty Agencji wynikające z utrzymywania zapasów obowiązkowych gazu ziemnego, podobnie jak do tej pory, pokrywane będą ze środków uzyskiwanych od przedsiębiorstw energetycznych z tytułu zlecenia Agencji utrzymywania zapasów obowiązkowych. Projektowane przedłużenie nie spowoduje skutków finansowych dla </w:t>
            </w:r>
            <w:r w:rsidRPr="000221CB">
              <w:rPr>
                <w:rFonts w:ascii="Times New Roman" w:hAnsi="Times New Roman"/>
                <w:sz w:val="21"/>
                <w:szCs w:val="21"/>
              </w:rPr>
              <w:t>Funduszu Przeciwdziałania COVID-19, o którym mowa w art. 65 ust. 1 ustawy z dnia 31 marca 2020 r. o zmianie ustawy o szczególnych rozwiązaniach związanych z zapobieganiem, przeciwdziałaniem i zwalczaniem COVID-19, innych chorób zakaźnych oraz wywołanych nimi sytuacji kryzysowych oraz niektórych innych ustaw</w:t>
            </w:r>
            <w:r>
              <w:rPr>
                <w:rFonts w:ascii="Times New Roman" w:hAnsi="Times New Roman"/>
                <w:sz w:val="21"/>
                <w:szCs w:val="21"/>
              </w:rPr>
              <w:t xml:space="preserve">. </w:t>
            </w:r>
          </w:p>
          <w:p w14:paraId="63EDEBBA" w14:textId="77777777" w:rsidR="005F4DFD" w:rsidRPr="00E50604" w:rsidRDefault="005F4DFD" w:rsidP="00180F9D">
            <w:pPr>
              <w:numPr>
                <w:ilvl w:val="0"/>
                <w:numId w:val="35"/>
              </w:numPr>
              <w:spacing w:after="120" w:line="240" w:lineRule="auto"/>
              <w:jc w:val="both"/>
              <w:rPr>
                <w:rFonts w:ascii="Times New Roman" w:hAnsi="Times New Roman"/>
                <w:color w:val="000000"/>
                <w:sz w:val="21"/>
                <w:szCs w:val="21"/>
              </w:rPr>
            </w:pPr>
            <w:r w:rsidRPr="00D9527C">
              <w:rPr>
                <w:rFonts w:ascii="Times New Roman" w:hAnsi="Times New Roman"/>
                <w:sz w:val="21"/>
                <w:szCs w:val="21"/>
              </w:rPr>
              <w:t>Zmiana w ustawie z dnia 9 lipca 2019 r. o systemie rekompensat dla sektorów i podsektorów energochłonnych</w:t>
            </w:r>
            <w:r>
              <w:rPr>
                <w:rFonts w:ascii="Times New Roman" w:hAnsi="Times New Roman"/>
                <w:sz w:val="21"/>
                <w:szCs w:val="21"/>
              </w:rPr>
              <w:t xml:space="preserve"> (Dz. U. z 2023 r. poz. 1393</w:t>
            </w:r>
            <w:r w:rsidRPr="00DE7D5A">
              <w:rPr>
                <w:rFonts w:ascii="Times New Roman" w:hAnsi="Times New Roman"/>
                <w:sz w:val="21"/>
                <w:szCs w:val="21"/>
              </w:rPr>
              <w:t xml:space="preserve">, z </w:t>
            </w:r>
            <w:proofErr w:type="spellStart"/>
            <w:r w:rsidRPr="00DE7D5A">
              <w:rPr>
                <w:rFonts w:ascii="Times New Roman" w:hAnsi="Times New Roman"/>
                <w:sz w:val="21"/>
                <w:szCs w:val="21"/>
              </w:rPr>
              <w:t>późn</w:t>
            </w:r>
            <w:proofErr w:type="spellEnd"/>
            <w:r w:rsidRPr="00DE7D5A">
              <w:rPr>
                <w:rFonts w:ascii="Times New Roman" w:hAnsi="Times New Roman"/>
                <w:sz w:val="21"/>
                <w:szCs w:val="21"/>
              </w:rPr>
              <w:t>. zm.</w:t>
            </w:r>
            <w:r>
              <w:rPr>
                <w:rFonts w:ascii="Times New Roman" w:hAnsi="Times New Roman"/>
                <w:sz w:val="21"/>
                <w:szCs w:val="21"/>
              </w:rPr>
              <w:t>)</w:t>
            </w:r>
            <w:r w:rsidRPr="00D9527C">
              <w:rPr>
                <w:rFonts w:ascii="Times New Roman" w:hAnsi="Times New Roman"/>
                <w:sz w:val="21"/>
                <w:szCs w:val="21"/>
              </w:rPr>
              <w:t xml:space="preserve"> oraz w ustawie z dnia 31 marca 2020 r. o zmianie ustawy o szczególnych rozwiązaniach związanych z zapobieganiem, przeciwdziałaniem i zwalczaniem COVID-19, innych chorób zakaźnych oraz wywołanych nimi sytuacji kryzysowych oraz niektórych innych ustaw</w:t>
            </w:r>
            <w:r>
              <w:rPr>
                <w:rFonts w:ascii="Times New Roman" w:hAnsi="Times New Roman"/>
                <w:sz w:val="21"/>
                <w:szCs w:val="21"/>
              </w:rPr>
              <w:t xml:space="preserve"> (Dz. U. poz. 568, z </w:t>
            </w:r>
            <w:proofErr w:type="spellStart"/>
            <w:r>
              <w:rPr>
                <w:rFonts w:ascii="Times New Roman" w:hAnsi="Times New Roman"/>
                <w:sz w:val="21"/>
                <w:szCs w:val="21"/>
              </w:rPr>
              <w:t>późn</w:t>
            </w:r>
            <w:proofErr w:type="spellEnd"/>
            <w:r>
              <w:rPr>
                <w:rFonts w:ascii="Times New Roman" w:hAnsi="Times New Roman"/>
                <w:sz w:val="21"/>
                <w:szCs w:val="21"/>
              </w:rPr>
              <w:t>. zm.)</w:t>
            </w:r>
            <w:r w:rsidRPr="00D9527C">
              <w:rPr>
                <w:rFonts w:ascii="Times New Roman" w:hAnsi="Times New Roman"/>
                <w:sz w:val="21"/>
                <w:szCs w:val="21"/>
              </w:rPr>
              <w:t xml:space="preserve"> </w:t>
            </w:r>
          </w:p>
          <w:p w14:paraId="3979223A" w14:textId="2500B392" w:rsidR="005F4DFD" w:rsidRPr="00E50604" w:rsidRDefault="005F4DFD" w:rsidP="00180F9D">
            <w:pPr>
              <w:pStyle w:val="Akapitzlist"/>
              <w:numPr>
                <w:ilvl w:val="0"/>
                <w:numId w:val="41"/>
              </w:numPr>
              <w:spacing w:after="120" w:line="240" w:lineRule="auto"/>
              <w:jc w:val="both"/>
              <w:rPr>
                <w:rFonts w:ascii="Times New Roman" w:hAnsi="Times New Roman"/>
                <w:color w:val="000000"/>
                <w:sz w:val="21"/>
                <w:szCs w:val="21"/>
              </w:rPr>
            </w:pPr>
            <w:r>
              <w:rPr>
                <w:rFonts w:ascii="Times New Roman" w:hAnsi="Times New Roman"/>
                <w:sz w:val="21"/>
                <w:szCs w:val="21"/>
              </w:rPr>
              <w:t>rozszerzenie katalogu możliwych</w:t>
            </w:r>
            <w:r w:rsidRPr="00E50604">
              <w:rPr>
                <w:rFonts w:ascii="Times New Roman" w:hAnsi="Times New Roman"/>
                <w:sz w:val="21"/>
                <w:szCs w:val="21"/>
              </w:rPr>
              <w:t xml:space="preserve"> </w:t>
            </w:r>
            <w:r>
              <w:rPr>
                <w:rFonts w:ascii="Times New Roman" w:hAnsi="Times New Roman"/>
                <w:sz w:val="21"/>
                <w:szCs w:val="21"/>
              </w:rPr>
              <w:t xml:space="preserve">źródeł wpływów właściwych funduszy o środki pochodzące ze </w:t>
            </w:r>
            <w:r w:rsidRPr="00E50604">
              <w:rPr>
                <w:rFonts w:ascii="Times New Roman" w:hAnsi="Times New Roman"/>
                <w:sz w:val="21"/>
                <w:szCs w:val="21"/>
              </w:rPr>
              <w:t>zwrot</w:t>
            </w:r>
            <w:r>
              <w:rPr>
                <w:rFonts w:ascii="Times New Roman" w:hAnsi="Times New Roman"/>
                <w:sz w:val="21"/>
                <w:szCs w:val="21"/>
              </w:rPr>
              <w:t>ów</w:t>
            </w:r>
            <w:r w:rsidRPr="00E50604">
              <w:rPr>
                <w:rFonts w:ascii="Times New Roman" w:hAnsi="Times New Roman"/>
                <w:sz w:val="21"/>
                <w:szCs w:val="21"/>
              </w:rPr>
              <w:t xml:space="preserve"> niewykorzystanych środków z tytułu rekompensat</w:t>
            </w:r>
            <w:r>
              <w:rPr>
                <w:rFonts w:ascii="Times New Roman" w:hAnsi="Times New Roman"/>
                <w:sz w:val="21"/>
                <w:szCs w:val="21"/>
              </w:rPr>
              <w:t xml:space="preserve"> – z tego tytułu nie powstaną skutki finansowe dla sektora finansów publicznych</w:t>
            </w:r>
            <w:r>
              <w:rPr>
                <w:rFonts w:ascii="Times New Roman" w:hAnsi="Times New Roman"/>
                <w:color w:val="000000"/>
                <w:sz w:val="21"/>
                <w:szCs w:val="21"/>
              </w:rPr>
              <w:t>, zmiana ma charakter porządkujący.</w:t>
            </w:r>
          </w:p>
          <w:p w14:paraId="52EB2BA6" w14:textId="3B33A7AF" w:rsidR="008C2F37" w:rsidRPr="00D9527C" w:rsidRDefault="00D9527C" w:rsidP="00180F9D">
            <w:pPr>
              <w:numPr>
                <w:ilvl w:val="0"/>
                <w:numId w:val="35"/>
              </w:numPr>
              <w:spacing w:after="120" w:line="240" w:lineRule="auto"/>
              <w:jc w:val="both"/>
              <w:rPr>
                <w:rFonts w:ascii="Times New Roman" w:hAnsi="Times New Roman"/>
                <w:color w:val="000000"/>
                <w:sz w:val="21"/>
                <w:szCs w:val="21"/>
              </w:rPr>
            </w:pPr>
            <w:r>
              <w:rPr>
                <w:rFonts w:ascii="Times New Roman" w:hAnsi="Times New Roman"/>
                <w:color w:val="000000"/>
                <w:sz w:val="21"/>
                <w:szCs w:val="21"/>
              </w:rPr>
              <w:t>Z</w:t>
            </w:r>
            <w:r w:rsidR="008C2F37" w:rsidRPr="00D9527C">
              <w:rPr>
                <w:rFonts w:ascii="Times New Roman" w:hAnsi="Times New Roman"/>
                <w:color w:val="000000"/>
                <w:sz w:val="21"/>
                <w:szCs w:val="21"/>
              </w:rPr>
              <w:t>miany do ustawy z dnia 10 kwietnia 1997 r. – Prawo energetyczne</w:t>
            </w:r>
            <w:r w:rsidR="002901AF">
              <w:rPr>
                <w:rFonts w:ascii="Times New Roman" w:hAnsi="Times New Roman"/>
                <w:color w:val="000000"/>
                <w:sz w:val="21"/>
                <w:szCs w:val="21"/>
              </w:rPr>
              <w:t xml:space="preserve"> (Dz. U. z 2024</w:t>
            </w:r>
            <w:r w:rsidR="00AD7FE4">
              <w:rPr>
                <w:rFonts w:ascii="Times New Roman" w:hAnsi="Times New Roman"/>
                <w:color w:val="000000"/>
                <w:sz w:val="21"/>
                <w:szCs w:val="21"/>
              </w:rPr>
              <w:t xml:space="preserve"> </w:t>
            </w:r>
            <w:r w:rsidR="002901AF">
              <w:rPr>
                <w:rFonts w:ascii="Times New Roman" w:hAnsi="Times New Roman"/>
                <w:color w:val="000000"/>
                <w:sz w:val="21"/>
                <w:szCs w:val="21"/>
              </w:rPr>
              <w:t>r. poz. 266)</w:t>
            </w:r>
            <w:r w:rsidR="008C2F37" w:rsidRPr="00D9527C">
              <w:rPr>
                <w:rFonts w:ascii="Times New Roman" w:hAnsi="Times New Roman"/>
                <w:color w:val="000000"/>
                <w:sz w:val="21"/>
                <w:szCs w:val="21"/>
              </w:rPr>
              <w:t>:</w:t>
            </w:r>
          </w:p>
          <w:p w14:paraId="22F658B2" w14:textId="77777777" w:rsidR="008C2F37" w:rsidRPr="00342951" w:rsidRDefault="008C2F37" w:rsidP="00180F9D">
            <w:pPr>
              <w:pStyle w:val="ZARTzmartartykuempunktem"/>
              <w:spacing w:line="240" w:lineRule="auto"/>
              <w:ind w:left="777" w:firstLine="0"/>
              <w:rPr>
                <w:rFonts w:ascii="Times New Roman" w:eastAsia="Calibri" w:hAnsi="Times New Roman" w:cs="Times New Roman"/>
                <w:color w:val="000000"/>
                <w:sz w:val="21"/>
                <w:szCs w:val="21"/>
                <w:lang w:eastAsia="en-US"/>
              </w:rPr>
            </w:pPr>
            <w:r w:rsidRPr="00342951">
              <w:rPr>
                <w:rFonts w:ascii="Times New Roman" w:eastAsia="Calibri" w:hAnsi="Times New Roman" w:cs="Times New Roman"/>
                <w:color w:val="000000"/>
                <w:sz w:val="21"/>
                <w:szCs w:val="21"/>
                <w:lang w:eastAsia="en-US"/>
              </w:rPr>
              <w:t>a) poprzez dodanie nowego art. 45 aa - Prezes URE będzie miał  prawo wglądu do dokumentów oraz żądania przedstawienia dokumentów lub informacji od właściciela lub zarządcy budynku wielolokalowego, o którym mowa w art. 45a ust. 6, dotyczących wyposażenia lokali budynku wielolokalowego w przyrządy pomiarowe lub urządzenia umożliwiające rozliczanie kosztów ciepła według zużycia kosztów ogrzewania oraz zużycia ciepłej wody w takich lokalach budynku wielolokalowego, a także stosowania rozliczania kosztów według zużycia oraz wypełniania obowiązków informacyjnych, o których mowa w art. 45a ust. 4a i art. 45c.,</w:t>
            </w:r>
          </w:p>
          <w:p w14:paraId="5FB572E3" w14:textId="77777777" w:rsidR="008C2F37" w:rsidRPr="00342951" w:rsidRDefault="008C2F37" w:rsidP="00180F9D">
            <w:pPr>
              <w:pStyle w:val="ZARTzmartartykuempunktem"/>
              <w:spacing w:line="240" w:lineRule="auto"/>
              <w:ind w:left="777" w:firstLine="0"/>
              <w:rPr>
                <w:rFonts w:ascii="Times New Roman" w:eastAsia="Calibri" w:hAnsi="Times New Roman" w:cs="Times New Roman"/>
                <w:color w:val="000000"/>
                <w:sz w:val="21"/>
                <w:szCs w:val="21"/>
                <w:lang w:eastAsia="en-US"/>
              </w:rPr>
            </w:pPr>
            <w:r w:rsidRPr="00342951">
              <w:rPr>
                <w:rFonts w:ascii="Times New Roman" w:eastAsia="Calibri" w:hAnsi="Times New Roman" w:cs="Times New Roman"/>
                <w:color w:val="000000"/>
                <w:sz w:val="21"/>
                <w:szCs w:val="21"/>
                <w:lang w:eastAsia="en-US"/>
              </w:rPr>
              <w:t>b) poprzez modyfikację art. 47 ust. 2g  w celu nałożenia na Prezesa URE obowiązku ogłaszania w terminach do dnia 31 marca i dodatkowo 30 września  każdego roku wysokości wskaźnika referencyjnego,</w:t>
            </w:r>
          </w:p>
          <w:p w14:paraId="4F056094" w14:textId="77777777" w:rsidR="008C2F37" w:rsidRPr="00342951" w:rsidRDefault="008C2F37" w:rsidP="00180F9D">
            <w:pPr>
              <w:spacing w:line="240" w:lineRule="auto"/>
              <w:ind w:left="777"/>
              <w:jc w:val="both"/>
              <w:rPr>
                <w:rFonts w:ascii="Times New Roman" w:hAnsi="Times New Roman"/>
                <w:color w:val="000000"/>
                <w:sz w:val="21"/>
                <w:szCs w:val="21"/>
              </w:rPr>
            </w:pPr>
            <w:r w:rsidRPr="00342951">
              <w:rPr>
                <w:rFonts w:ascii="Times New Roman" w:hAnsi="Times New Roman"/>
                <w:color w:val="000000"/>
                <w:sz w:val="21"/>
                <w:szCs w:val="21"/>
              </w:rPr>
              <w:t>c) poprzez usunięcie z treści art. 56 ust. 3 pkt 1 zbędnego odwołania ze względu na sprzeczność regulacji w zakresie wysokości wymierzenia kary.</w:t>
            </w:r>
          </w:p>
          <w:p w14:paraId="068F25DF" w14:textId="1C57001C" w:rsidR="00066FC1" w:rsidRPr="00B63393" w:rsidRDefault="00066FC1" w:rsidP="00180F9D">
            <w:pPr>
              <w:spacing w:after="120" w:line="240" w:lineRule="auto"/>
              <w:ind w:left="720"/>
              <w:jc w:val="both"/>
              <w:rPr>
                <w:rFonts w:ascii="Times New Roman" w:hAnsi="Times New Roman"/>
                <w:color w:val="000000"/>
                <w:spacing w:val="-2"/>
                <w:sz w:val="21"/>
                <w:szCs w:val="21"/>
              </w:rPr>
            </w:pPr>
          </w:p>
        </w:tc>
      </w:tr>
      <w:tr w:rsidR="006A701A" w:rsidRPr="0066079A" w14:paraId="7429FA5C" w14:textId="77777777" w:rsidTr="00A87747">
        <w:trPr>
          <w:gridAfter w:val="1"/>
          <w:wAfter w:w="13" w:type="dxa"/>
          <w:trHeight w:val="307"/>
        </w:trPr>
        <w:tc>
          <w:tcPr>
            <w:tcW w:w="10937" w:type="dxa"/>
            <w:gridSpan w:val="29"/>
            <w:shd w:val="clear" w:color="auto" w:fill="99CCFF"/>
            <w:vAlign w:val="center"/>
          </w:tcPr>
          <w:p w14:paraId="431ABF4E" w14:textId="77777777" w:rsidR="006A701A" w:rsidRPr="0066079A" w:rsidRDefault="009E3C4B" w:rsidP="00180F9D">
            <w:pPr>
              <w:numPr>
                <w:ilvl w:val="0"/>
                <w:numId w:val="3"/>
              </w:numPr>
              <w:spacing w:before="60" w:after="60" w:line="240" w:lineRule="auto"/>
              <w:ind w:left="318" w:hanging="284"/>
              <w:jc w:val="both"/>
              <w:rPr>
                <w:rFonts w:ascii="Times New Roman" w:hAnsi="Times New Roman"/>
                <w:b/>
                <w:color w:val="000000"/>
                <w:sz w:val="21"/>
                <w:szCs w:val="21"/>
              </w:rPr>
            </w:pPr>
            <w:r w:rsidRPr="0066079A">
              <w:rPr>
                <w:rFonts w:ascii="Times New Roman" w:hAnsi="Times New Roman"/>
                <w:b/>
                <w:spacing w:val="-2"/>
                <w:sz w:val="21"/>
                <w:szCs w:val="21"/>
              </w:rPr>
              <w:lastRenderedPageBreak/>
              <w:t>Jak problem został rozwiązany w innych krajach, w szczególności krajach członkowskich OECD/UE</w:t>
            </w:r>
            <w:r w:rsidR="006A701A" w:rsidRPr="0066079A">
              <w:rPr>
                <w:rFonts w:ascii="Times New Roman" w:hAnsi="Times New Roman"/>
                <w:b/>
                <w:color w:val="000000"/>
                <w:sz w:val="21"/>
                <w:szCs w:val="21"/>
              </w:rPr>
              <w:t>?</w:t>
            </w:r>
            <w:r w:rsidR="006A701A" w:rsidRPr="0066079A">
              <w:rPr>
                <w:rFonts w:ascii="Times New Roman" w:hAnsi="Times New Roman"/>
                <w:i/>
                <w:color w:val="000000"/>
                <w:sz w:val="21"/>
                <w:szCs w:val="21"/>
              </w:rPr>
              <w:t xml:space="preserve"> </w:t>
            </w:r>
          </w:p>
        </w:tc>
      </w:tr>
      <w:tr w:rsidR="006A701A" w:rsidRPr="0066079A" w14:paraId="72D1553C" w14:textId="77777777" w:rsidTr="00A87747">
        <w:trPr>
          <w:gridAfter w:val="1"/>
          <w:wAfter w:w="13" w:type="dxa"/>
          <w:trHeight w:val="142"/>
        </w:trPr>
        <w:tc>
          <w:tcPr>
            <w:tcW w:w="10937" w:type="dxa"/>
            <w:gridSpan w:val="29"/>
            <w:shd w:val="clear" w:color="auto" w:fill="auto"/>
          </w:tcPr>
          <w:p w14:paraId="09769243" w14:textId="1D9DAF92" w:rsidR="005821E9" w:rsidRPr="0066079A" w:rsidRDefault="005821E9" w:rsidP="00180F9D">
            <w:pPr>
              <w:spacing w:line="240" w:lineRule="auto"/>
              <w:jc w:val="both"/>
              <w:rPr>
                <w:rFonts w:ascii="Times New Roman" w:hAnsi="Times New Roman"/>
                <w:sz w:val="21"/>
                <w:szCs w:val="21"/>
              </w:rPr>
            </w:pPr>
            <w:r w:rsidRPr="0066079A">
              <w:rPr>
                <w:rFonts w:ascii="Times New Roman" w:hAnsi="Times New Roman"/>
                <w:sz w:val="21"/>
                <w:szCs w:val="21"/>
              </w:rPr>
              <w:t>Belgia:</w:t>
            </w:r>
          </w:p>
          <w:p w14:paraId="24D5CB1D" w14:textId="46A636CA" w:rsidR="005821E9" w:rsidRPr="0066079A" w:rsidRDefault="005821E9" w:rsidP="00180F9D">
            <w:pPr>
              <w:pStyle w:val="Akapitzlist"/>
              <w:numPr>
                <w:ilvl w:val="0"/>
                <w:numId w:val="22"/>
              </w:numPr>
              <w:spacing w:line="240" w:lineRule="auto"/>
              <w:jc w:val="both"/>
              <w:rPr>
                <w:rFonts w:ascii="Times New Roman" w:hAnsi="Times New Roman"/>
                <w:sz w:val="21"/>
                <w:szCs w:val="21"/>
              </w:rPr>
            </w:pPr>
            <w:r w:rsidRPr="0066079A">
              <w:rPr>
                <w:rFonts w:ascii="Times New Roman" w:hAnsi="Times New Roman"/>
                <w:sz w:val="21"/>
                <w:szCs w:val="21"/>
              </w:rPr>
              <w:t>Rozszerzenie taryfy socjalnej na energię wprowadzonej podczas pandemii</w:t>
            </w:r>
            <w:r w:rsidR="002901AF">
              <w:rPr>
                <w:rFonts w:ascii="Times New Roman" w:hAnsi="Times New Roman"/>
                <w:sz w:val="21"/>
                <w:szCs w:val="21"/>
              </w:rPr>
              <w:t xml:space="preserve"> </w:t>
            </w:r>
            <w:r w:rsidRPr="0066079A">
              <w:rPr>
                <w:rFonts w:ascii="Times New Roman" w:hAnsi="Times New Roman"/>
                <w:sz w:val="21"/>
                <w:szCs w:val="21"/>
              </w:rPr>
              <w:t xml:space="preserve">(z 424 do 880 tys. rodzin, czyli około 16% wszystkich belgijskich gospodarstw domowych) </w:t>
            </w:r>
            <w:r w:rsidR="00560FE5" w:rsidRPr="0066079A">
              <w:rPr>
                <w:rFonts w:ascii="Times New Roman" w:hAnsi="Times New Roman"/>
                <w:sz w:val="21"/>
                <w:szCs w:val="21"/>
              </w:rPr>
              <w:t>kosztowało</w:t>
            </w:r>
            <w:r w:rsidRPr="0066079A">
              <w:rPr>
                <w:rFonts w:ascii="Times New Roman" w:hAnsi="Times New Roman"/>
                <w:sz w:val="21"/>
                <w:szCs w:val="21"/>
              </w:rPr>
              <w:t xml:space="preserve"> państwo 600 mln euro w</w:t>
            </w:r>
            <w:r w:rsidR="00560FE5" w:rsidRPr="0066079A">
              <w:rPr>
                <w:rFonts w:ascii="Times New Roman" w:hAnsi="Times New Roman"/>
                <w:sz w:val="21"/>
                <w:szCs w:val="21"/>
              </w:rPr>
              <w:t> </w:t>
            </w:r>
            <w:r w:rsidRPr="0066079A">
              <w:rPr>
                <w:rFonts w:ascii="Times New Roman" w:hAnsi="Times New Roman"/>
                <w:sz w:val="21"/>
                <w:szCs w:val="21"/>
              </w:rPr>
              <w:t xml:space="preserve">okresie styczeń-wrzesień 2022 r. </w:t>
            </w:r>
          </w:p>
          <w:p w14:paraId="38DDE8E8" w14:textId="77777777" w:rsidR="005821E9" w:rsidRPr="0066079A" w:rsidRDefault="005821E9" w:rsidP="00180F9D">
            <w:pPr>
              <w:pStyle w:val="Akapitzlist"/>
              <w:numPr>
                <w:ilvl w:val="0"/>
                <w:numId w:val="22"/>
              </w:numPr>
              <w:spacing w:line="240" w:lineRule="auto"/>
              <w:jc w:val="both"/>
              <w:rPr>
                <w:rFonts w:ascii="Times New Roman" w:hAnsi="Times New Roman"/>
                <w:sz w:val="21"/>
                <w:szCs w:val="21"/>
              </w:rPr>
            </w:pPr>
            <w:r w:rsidRPr="0066079A">
              <w:rPr>
                <w:rFonts w:ascii="Times New Roman" w:hAnsi="Times New Roman"/>
                <w:sz w:val="21"/>
                <w:szCs w:val="21"/>
              </w:rPr>
              <w:t>Utworzono Fundusz na rzecz Gazu i Energii Elektrycznej o wartości 16 mln euro, aby wesprzeć gospodarstwa domowe w potrzebie, które nie kwalifikują się do otrzymania taryfy socjalnej.</w:t>
            </w:r>
          </w:p>
          <w:p w14:paraId="343CF029" w14:textId="6400A8EE" w:rsidR="005821E9" w:rsidRPr="0066079A" w:rsidRDefault="005821E9" w:rsidP="00180F9D">
            <w:pPr>
              <w:pStyle w:val="Akapitzlist"/>
              <w:numPr>
                <w:ilvl w:val="0"/>
                <w:numId w:val="22"/>
              </w:numPr>
              <w:spacing w:line="240" w:lineRule="auto"/>
              <w:jc w:val="both"/>
              <w:rPr>
                <w:rFonts w:ascii="Times New Roman" w:hAnsi="Times New Roman"/>
                <w:sz w:val="21"/>
                <w:szCs w:val="21"/>
              </w:rPr>
            </w:pPr>
            <w:r w:rsidRPr="0066079A">
              <w:rPr>
                <w:rFonts w:ascii="Times New Roman" w:hAnsi="Times New Roman"/>
                <w:sz w:val="21"/>
                <w:szCs w:val="21"/>
              </w:rPr>
              <w:t>Niektóre podatki, takie jak federalna składka na gaz i energię elektryczną oraz certyfikaty zielonej energii, są</w:t>
            </w:r>
            <w:r w:rsidR="00A94E89" w:rsidRPr="0066079A">
              <w:rPr>
                <w:rFonts w:ascii="Times New Roman" w:hAnsi="Times New Roman"/>
                <w:sz w:val="21"/>
                <w:szCs w:val="21"/>
              </w:rPr>
              <w:t> </w:t>
            </w:r>
            <w:r w:rsidRPr="0066079A">
              <w:rPr>
                <w:rFonts w:ascii="Times New Roman" w:hAnsi="Times New Roman"/>
                <w:sz w:val="21"/>
                <w:szCs w:val="21"/>
              </w:rPr>
              <w:t xml:space="preserve">zastępowane akcyzą, która może być łatwo dostosowana przez rząd w celu zrekompensowania wahań cen energii. </w:t>
            </w:r>
          </w:p>
          <w:p w14:paraId="20D6339B" w14:textId="77777777" w:rsidR="005821E9" w:rsidRPr="0066079A" w:rsidRDefault="005821E9" w:rsidP="00180F9D">
            <w:pPr>
              <w:pStyle w:val="Akapitzlist"/>
              <w:numPr>
                <w:ilvl w:val="0"/>
                <w:numId w:val="22"/>
              </w:numPr>
              <w:spacing w:line="240" w:lineRule="auto"/>
              <w:jc w:val="both"/>
              <w:rPr>
                <w:rFonts w:ascii="Times New Roman" w:hAnsi="Times New Roman"/>
                <w:sz w:val="21"/>
                <w:szCs w:val="21"/>
              </w:rPr>
            </w:pPr>
            <w:r w:rsidRPr="0066079A">
              <w:rPr>
                <w:rFonts w:ascii="Times New Roman" w:hAnsi="Times New Roman"/>
                <w:sz w:val="21"/>
                <w:szCs w:val="21"/>
              </w:rPr>
              <w:t xml:space="preserve">Zgoda rządu Belgii na stałe obniżenie podatku VAT na energię elektryczną i gaz z 21% do 6% </w:t>
            </w:r>
          </w:p>
          <w:p w14:paraId="54868B90" w14:textId="77777777" w:rsidR="005821E9" w:rsidRPr="0066079A" w:rsidRDefault="005821E9" w:rsidP="00180F9D">
            <w:pPr>
              <w:pStyle w:val="Akapitzlist"/>
              <w:numPr>
                <w:ilvl w:val="0"/>
                <w:numId w:val="22"/>
              </w:numPr>
              <w:spacing w:line="240" w:lineRule="auto"/>
              <w:jc w:val="both"/>
              <w:rPr>
                <w:rFonts w:ascii="Times New Roman" w:hAnsi="Times New Roman"/>
                <w:sz w:val="21"/>
                <w:szCs w:val="21"/>
              </w:rPr>
            </w:pPr>
            <w:r w:rsidRPr="0066079A">
              <w:rPr>
                <w:rFonts w:ascii="Times New Roman" w:hAnsi="Times New Roman"/>
                <w:sz w:val="21"/>
                <w:szCs w:val="21"/>
              </w:rPr>
              <w:t>Rząd zakazał jednostronnych zmian w umowach energetycznych, dzięki którym dostawcy energii mogliby samodzielnie podwyższać fakturę zaliczkową odbiorców również w umowach o stałej cenie.</w:t>
            </w:r>
          </w:p>
          <w:p w14:paraId="48A4ED60" w14:textId="48D110B5" w:rsidR="005821E9" w:rsidRPr="0066079A" w:rsidRDefault="005821E9" w:rsidP="00180F9D">
            <w:pPr>
              <w:pStyle w:val="Akapitzlist"/>
              <w:numPr>
                <w:ilvl w:val="0"/>
                <w:numId w:val="22"/>
              </w:numPr>
              <w:spacing w:line="240" w:lineRule="auto"/>
              <w:jc w:val="both"/>
              <w:rPr>
                <w:rFonts w:ascii="Times New Roman" w:hAnsi="Times New Roman"/>
                <w:sz w:val="21"/>
                <w:szCs w:val="21"/>
              </w:rPr>
            </w:pPr>
            <w:r w:rsidRPr="0066079A">
              <w:rPr>
                <w:rFonts w:ascii="Times New Roman" w:hAnsi="Times New Roman"/>
                <w:sz w:val="21"/>
                <w:szCs w:val="21"/>
              </w:rPr>
              <w:t>Od października 2021 r. najbardziej wrażliwi obywatele mogą korzystać z czeku energetycznego w wysokości 80 euro, który zostanie potrącany z ich rachunku. Budżet wyni</w:t>
            </w:r>
            <w:r w:rsidR="002901AF">
              <w:rPr>
                <w:rFonts w:ascii="Times New Roman" w:hAnsi="Times New Roman"/>
                <w:sz w:val="21"/>
                <w:szCs w:val="21"/>
              </w:rPr>
              <w:t>ósł</w:t>
            </w:r>
            <w:r w:rsidRPr="0066079A">
              <w:rPr>
                <w:rFonts w:ascii="Times New Roman" w:hAnsi="Times New Roman"/>
                <w:sz w:val="21"/>
                <w:szCs w:val="21"/>
              </w:rPr>
              <w:t xml:space="preserve"> 72 mln euro.</w:t>
            </w:r>
          </w:p>
          <w:p w14:paraId="7A336273" w14:textId="77777777" w:rsidR="005821E9" w:rsidRPr="0066079A" w:rsidRDefault="005821E9" w:rsidP="00180F9D">
            <w:pPr>
              <w:pStyle w:val="Akapitzlist"/>
              <w:spacing w:line="240" w:lineRule="auto"/>
              <w:jc w:val="both"/>
              <w:rPr>
                <w:rFonts w:ascii="Times New Roman" w:hAnsi="Times New Roman"/>
                <w:sz w:val="21"/>
                <w:szCs w:val="21"/>
              </w:rPr>
            </w:pPr>
          </w:p>
          <w:p w14:paraId="2054C92B" w14:textId="77777777" w:rsidR="005821E9" w:rsidRPr="0066079A" w:rsidRDefault="005821E9" w:rsidP="00180F9D">
            <w:pPr>
              <w:spacing w:line="240" w:lineRule="auto"/>
              <w:jc w:val="both"/>
              <w:rPr>
                <w:rFonts w:ascii="Times New Roman" w:hAnsi="Times New Roman"/>
                <w:sz w:val="21"/>
                <w:szCs w:val="21"/>
              </w:rPr>
            </w:pPr>
            <w:r w:rsidRPr="0066079A">
              <w:rPr>
                <w:rFonts w:ascii="Times New Roman" w:hAnsi="Times New Roman"/>
                <w:sz w:val="21"/>
                <w:szCs w:val="21"/>
              </w:rPr>
              <w:t>Francja:</w:t>
            </w:r>
          </w:p>
          <w:p w14:paraId="6FB645F8" w14:textId="177AC447" w:rsidR="005821E9" w:rsidRPr="0066079A" w:rsidRDefault="002901AF" w:rsidP="00180F9D">
            <w:pPr>
              <w:pStyle w:val="Akapitzlist"/>
              <w:numPr>
                <w:ilvl w:val="0"/>
                <w:numId w:val="23"/>
              </w:numPr>
              <w:spacing w:line="240" w:lineRule="auto"/>
              <w:jc w:val="both"/>
              <w:rPr>
                <w:rFonts w:ascii="Times New Roman" w:hAnsi="Times New Roman"/>
                <w:sz w:val="21"/>
                <w:szCs w:val="21"/>
              </w:rPr>
            </w:pPr>
            <w:r>
              <w:rPr>
                <w:rFonts w:ascii="Times New Roman" w:hAnsi="Times New Roman"/>
                <w:sz w:val="21"/>
                <w:szCs w:val="21"/>
              </w:rPr>
              <w:t>B</w:t>
            </w:r>
            <w:r w:rsidR="005821E9" w:rsidRPr="0066079A">
              <w:rPr>
                <w:rFonts w:ascii="Times New Roman" w:hAnsi="Times New Roman"/>
                <w:sz w:val="21"/>
                <w:szCs w:val="21"/>
              </w:rPr>
              <w:t>ony energetyczne w wysokości 100 euro. dla wszystkich zarabiających mniej niż 2 000 euro miesięcznie netto – około 38 mln osób) do końca 2022 r</w:t>
            </w:r>
            <w:r w:rsidR="00560FE5" w:rsidRPr="0066079A">
              <w:rPr>
                <w:rFonts w:ascii="Times New Roman" w:hAnsi="Times New Roman"/>
                <w:sz w:val="21"/>
                <w:szCs w:val="21"/>
              </w:rPr>
              <w:t>.</w:t>
            </w:r>
          </w:p>
          <w:p w14:paraId="3EA722A5" w14:textId="555CEBC6" w:rsidR="005821E9" w:rsidRPr="0066079A" w:rsidRDefault="005821E9" w:rsidP="00180F9D">
            <w:pPr>
              <w:pStyle w:val="Akapitzlist"/>
              <w:numPr>
                <w:ilvl w:val="0"/>
                <w:numId w:val="23"/>
              </w:numPr>
              <w:spacing w:line="240" w:lineRule="auto"/>
              <w:jc w:val="both"/>
              <w:rPr>
                <w:rFonts w:ascii="Times New Roman" w:hAnsi="Times New Roman"/>
                <w:sz w:val="21"/>
                <w:szCs w:val="21"/>
              </w:rPr>
            </w:pPr>
            <w:r w:rsidRPr="0066079A">
              <w:rPr>
                <w:rFonts w:ascii="Times New Roman" w:hAnsi="Times New Roman"/>
                <w:sz w:val="21"/>
                <w:szCs w:val="21"/>
              </w:rPr>
              <w:t>Od lutego 2022 r. do stycznia 2023 r. rząd obniżył podatek od energii elektrycznej z 22,50 euro/MWh do 1 euro dla gospodarstw domowych</w:t>
            </w:r>
            <w:r w:rsidR="002901AF">
              <w:rPr>
                <w:rFonts w:ascii="Times New Roman" w:hAnsi="Times New Roman"/>
                <w:sz w:val="21"/>
                <w:szCs w:val="21"/>
              </w:rPr>
              <w:t>.</w:t>
            </w:r>
          </w:p>
          <w:p w14:paraId="2CE8EEFB" w14:textId="77649EBE" w:rsidR="005821E9" w:rsidRPr="0066079A" w:rsidRDefault="005821E9" w:rsidP="00180F9D">
            <w:pPr>
              <w:pStyle w:val="Akapitzlist"/>
              <w:numPr>
                <w:ilvl w:val="0"/>
                <w:numId w:val="23"/>
              </w:numPr>
              <w:spacing w:line="240" w:lineRule="auto"/>
              <w:jc w:val="both"/>
              <w:rPr>
                <w:rFonts w:ascii="Times New Roman" w:hAnsi="Times New Roman"/>
                <w:sz w:val="21"/>
                <w:szCs w:val="21"/>
              </w:rPr>
            </w:pPr>
            <w:r w:rsidRPr="0066079A">
              <w:rPr>
                <w:rFonts w:ascii="Times New Roman" w:hAnsi="Times New Roman"/>
                <w:sz w:val="21"/>
                <w:szCs w:val="21"/>
              </w:rPr>
              <w:t>Przedłużenie tarczy taryfowej dla gazu i energii elektrycznej do końca 2023 r.</w:t>
            </w:r>
          </w:p>
          <w:p w14:paraId="7F24E141" w14:textId="77777777" w:rsidR="006A701A" w:rsidRPr="0066079A" w:rsidRDefault="006A701A" w:rsidP="00180F9D">
            <w:pPr>
              <w:spacing w:line="240" w:lineRule="auto"/>
              <w:jc w:val="both"/>
              <w:rPr>
                <w:rFonts w:ascii="Times New Roman" w:hAnsi="Times New Roman"/>
                <w:color w:val="000000"/>
                <w:spacing w:val="-2"/>
                <w:sz w:val="21"/>
                <w:szCs w:val="21"/>
              </w:rPr>
            </w:pPr>
          </w:p>
          <w:p w14:paraId="44E28528" w14:textId="77777777" w:rsidR="005821E9" w:rsidRPr="0066079A" w:rsidRDefault="005821E9" w:rsidP="00180F9D">
            <w:pPr>
              <w:spacing w:line="240" w:lineRule="auto"/>
              <w:jc w:val="both"/>
              <w:rPr>
                <w:rFonts w:ascii="Times New Roman" w:hAnsi="Times New Roman"/>
                <w:sz w:val="21"/>
                <w:szCs w:val="21"/>
              </w:rPr>
            </w:pPr>
            <w:r w:rsidRPr="0066079A">
              <w:rPr>
                <w:rFonts w:ascii="Times New Roman" w:hAnsi="Times New Roman"/>
                <w:sz w:val="21"/>
                <w:szCs w:val="21"/>
              </w:rPr>
              <w:t>Niemcy:</w:t>
            </w:r>
          </w:p>
          <w:p w14:paraId="411B23D3" w14:textId="36F2AEFB" w:rsidR="005821E9" w:rsidRPr="0066079A" w:rsidRDefault="002901AF" w:rsidP="00180F9D">
            <w:pPr>
              <w:numPr>
                <w:ilvl w:val="0"/>
                <w:numId w:val="24"/>
              </w:numPr>
              <w:spacing w:line="240" w:lineRule="auto"/>
              <w:jc w:val="both"/>
              <w:rPr>
                <w:rFonts w:ascii="Times New Roman" w:hAnsi="Times New Roman"/>
                <w:sz w:val="21"/>
                <w:szCs w:val="21"/>
              </w:rPr>
            </w:pPr>
            <w:r>
              <w:rPr>
                <w:rFonts w:ascii="Times New Roman" w:hAnsi="Times New Roman"/>
                <w:sz w:val="21"/>
                <w:szCs w:val="21"/>
              </w:rPr>
              <w:t>O</w:t>
            </w:r>
            <w:r w:rsidR="005821E9" w:rsidRPr="0066079A">
              <w:rPr>
                <w:rFonts w:ascii="Times New Roman" w:hAnsi="Times New Roman"/>
                <w:sz w:val="21"/>
                <w:szCs w:val="21"/>
              </w:rPr>
              <w:t xml:space="preserve">bniżenie dopłaty </w:t>
            </w:r>
            <w:proofErr w:type="spellStart"/>
            <w:r w:rsidR="005821E9" w:rsidRPr="0066079A">
              <w:rPr>
                <w:rFonts w:ascii="Times New Roman" w:hAnsi="Times New Roman"/>
                <w:sz w:val="21"/>
                <w:szCs w:val="21"/>
              </w:rPr>
              <w:t>Erneuerbare-Energien-Gesetz</w:t>
            </w:r>
            <w:proofErr w:type="spellEnd"/>
            <w:r w:rsidR="005821E9" w:rsidRPr="0066079A">
              <w:rPr>
                <w:rFonts w:ascii="Times New Roman" w:hAnsi="Times New Roman"/>
                <w:sz w:val="21"/>
                <w:szCs w:val="21"/>
              </w:rPr>
              <w:t xml:space="preserve"> (EEG) – opłaty od ceny energii elektrycznej – z 6,5 do 3,72 centów od ceny hurtowej za kWh energii elektrycznej. Środek, kosztujący 3,3 mld euro, wszedł w życie 1 stycznia 2022 r. i będzie finansowany z budżetu federalnego i wyższych cen CO2. Pod koniec kwietnia 2022 </w:t>
            </w:r>
            <w:r w:rsidRPr="0066079A">
              <w:rPr>
                <w:rFonts w:ascii="Times New Roman" w:hAnsi="Times New Roman"/>
                <w:sz w:val="21"/>
                <w:szCs w:val="21"/>
              </w:rPr>
              <w:t>r</w:t>
            </w:r>
            <w:r>
              <w:rPr>
                <w:rFonts w:ascii="Times New Roman" w:hAnsi="Times New Roman"/>
                <w:sz w:val="21"/>
                <w:szCs w:val="21"/>
              </w:rPr>
              <w:t>.</w:t>
            </w:r>
            <w:r w:rsidRPr="0066079A">
              <w:rPr>
                <w:rFonts w:ascii="Times New Roman" w:hAnsi="Times New Roman"/>
                <w:sz w:val="21"/>
                <w:szCs w:val="21"/>
              </w:rPr>
              <w:t xml:space="preserve"> </w:t>
            </w:r>
            <w:r w:rsidR="005821E9" w:rsidRPr="0066079A">
              <w:rPr>
                <w:rFonts w:ascii="Times New Roman" w:hAnsi="Times New Roman"/>
                <w:sz w:val="21"/>
                <w:szCs w:val="21"/>
              </w:rPr>
              <w:t>uchwalono ustawę całkowicie znoszącą dopłatę EEG od lipca 2022 r.</w:t>
            </w:r>
          </w:p>
          <w:p w14:paraId="493A3CC1" w14:textId="4F07A85E" w:rsidR="005821E9" w:rsidRPr="0066079A" w:rsidRDefault="002901AF" w:rsidP="00180F9D">
            <w:pPr>
              <w:numPr>
                <w:ilvl w:val="0"/>
                <w:numId w:val="24"/>
              </w:numPr>
              <w:spacing w:line="240" w:lineRule="auto"/>
              <w:jc w:val="both"/>
              <w:rPr>
                <w:rFonts w:ascii="Times New Roman" w:hAnsi="Times New Roman"/>
                <w:sz w:val="21"/>
                <w:szCs w:val="21"/>
              </w:rPr>
            </w:pPr>
            <w:r>
              <w:rPr>
                <w:rFonts w:ascii="Times New Roman" w:hAnsi="Times New Roman"/>
                <w:sz w:val="21"/>
                <w:szCs w:val="21"/>
              </w:rPr>
              <w:t>P</w:t>
            </w:r>
            <w:r w:rsidR="005821E9" w:rsidRPr="0066079A">
              <w:rPr>
                <w:rFonts w:ascii="Times New Roman" w:hAnsi="Times New Roman"/>
                <w:sz w:val="21"/>
                <w:szCs w:val="21"/>
              </w:rPr>
              <w:t>akiet jednorazowych dotacji w wysokości 130 mln euro dla gospodarstw domowych o niskich dochodach, wypłacan</w:t>
            </w:r>
            <w:r>
              <w:rPr>
                <w:rFonts w:ascii="Times New Roman" w:hAnsi="Times New Roman"/>
                <w:sz w:val="21"/>
                <w:szCs w:val="21"/>
              </w:rPr>
              <w:t>ych</w:t>
            </w:r>
            <w:r w:rsidR="005821E9" w:rsidRPr="0066079A">
              <w:rPr>
                <w:rFonts w:ascii="Times New Roman" w:hAnsi="Times New Roman"/>
                <w:sz w:val="21"/>
                <w:szCs w:val="21"/>
              </w:rPr>
              <w:t xml:space="preserve"> latem, gdy gospodarstwa domowe otrzymają rachunki od dostawców energii</w:t>
            </w:r>
            <w:r>
              <w:rPr>
                <w:rFonts w:ascii="Times New Roman" w:hAnsi="Times New Roman"/>
                <w:sz w:val="21"/>
                <w:szCs w:val="21"/>
              </w:rPr>
              <w:t>.</w:t>
            </w:r>
          </w:p>
          <w:p w14:paraId="6D451373" w14:textId="73D2ED1F" w:rsidR="005821E9" w:rsidRPr="0066079A" w:rsidRDefault="005821E9" w:rsidP="00180F9D">
            <w:pPr>
              <w:numPr>
                <w:ilvl w:val="0"/>
                <w:numId w:val="24"/>
              </w:numPr>
              <w:spacing w:line="240" w:lineRule="auto"/>
              <w:jc w:val="both"/>
              <w:rPr>
                <w:rFonts w:ascii="Times New Roman" w:hAnsi="Times New Roman"/>
                <w:sz w:val="21"/>
                <w:szCs w:val="21"/>
              </w:rPr>
            </w:pPr>
            <w:r w:rsidRPr="0066079A">
              <w:rPr>
                <w:rFonts w:ascii="Times New Roman" w:hAnsi="Times New Roman"/>
                <w:sz w:val="21"/>
                <w:szCs w:val="21"/>
              </w:rPr>
              <w:t xml:space="preserve">Niemieccy pracownicy i rodziny </w:t>
            </w:r>
            <w:r w:rsidR="002901AF" w:rsidRPr="0066079A">
              <w:rPr>
                <w:rFonts w:ascii="Times New Roman" w:hAnsi="Times New Roman"/>
                <w:sz w:val="21"/>
                <w:szCs w:val="21"/>
              </w:rPr>
              <w:t>otrzym</w:t>
            </w:r>
            <w:r w:rsidR="002901AF">
              <w:rPr>
                <w:rFonts w:ascii="Times New Roman" w:hAnsi="Times New Roman"/>
                <w:sz w:val="21"/>
                <w:szCs w:val="21"/>
              </w:rPr>
              <w:t>ują</w:t>
            </w:r>
            <w:r w:rsidR="002901AF" w:rsidRPr="0066079A">
              <w:rPr>
                <w:rFonts w:ascii="Times New Roman" w:hAnsi="Times New Roman"/>
                <w:sz w:val="21"/>
                <w:szCs w:val="21"/>
              </w:rPr>
              <w:t xml:space="preserve"> </w:t>
            </w:r>
            <w:r w:rsidRPr="0066079A">
              <w:rPr>
                <w:rFonts w:ascii="Times New Roman" w:hAnsi="Times New Roman"/>
                <w:sz w:val="21"/>
                <w:szCs w:val="21"/>
              </w:rPr>
              <w:t xml:space="preserve">dodatkową gotówkę, tańszą benzynę i tańsze bilety komunikacji miejskiej, aby pomóc im w walce z rosnącymi kosztami energii elektrycznej i ogrzewania.  </w:t>
            </w:r>
          </w:p>
          <w:p w14:paraId="0E080CF4" w14:textId="698BBA41" w:rsidR="005821E9" w:rsidRPr="0009267A" w:rsidRDefault="005821E9" w:rsidP="00180F9D">
            <w:pPr>
              <w:pStyle w:val="Akapitzlist"/>
              <w:numPr>
                <w:ilvl w:val="0"/>
                <w:numId w:val="24"/>
              </w:numPr>
              <w:spacing w:line="240" w:lineRule="auto"/>
              <w:jc w:val="both"/>
              <w:rPr>
                <w:rFonts w:ascii="Times New Roman" w:hAnsi="Times New Roman"/>
                <w:sz w:val="21"/>
                <w:szCs w:val="21"/>
              </w:rPr>
            </w:pPr>
            <w:r w:rsidRPr="0009267A">
              <w:rPr>
                <w:rFonts w:ascii="Times New Roman" w:hAnsi="Times New Roman"/>
                <w:sz w:val="21"/>
                <w:szCs w:val="21"/>
              </w:rPr>
              <w:t>Dodatkowe środki w wysokości ok. 15 mld euro na:</w:t>
            </w:r>
          </w:p>
          <w:p w14:paraId="352D50C8" w14:textId="77777777" w:rsidR="005821E9" w:rsidRPr="0066079A" w:rsidRDefault="005821E9" w:rsidP="00180F9D">
            <w:pPr>
              <w:numPr>
                <w:ilvl w:val="0"/>
                <w:numId w:val="25"/>
              </w:numPr>
              <w:spacing w:line="240" w:lineRule="auto"/>
              <w:jc w:val="both"/>
              <w:rPr>
                <w:rFonts w:ascii="Times New Roman" w:hAnsi="Times New Roman"/>
                <w:sz w:val="21"/>
                <w:szCs w:val="21"/>
              </w:rPr>
            </w:pPr>
            <w:r w:rsidRPr="0066079A">
              <w:rPr>
                <w:rFonts w:ascii="Times New Roman" w:hAnsi="Times New Roman"/>
                <w:sz w:val="21"/>
                <w:szCs w:val="21"/>
              </w:rPr>
              <w:t>nowy program dotacji na wymianę kotłów gazowych na pompy ciepła, podniesienie standardu efektywności energetycznej dla nowych budynków do KfW55 do 2023 r.</w:t>
            </w:r>
          </w:p>
          <w:p w14:paraId="375EAC41" w14:textId="7DDFA955" w:rsidR="005821E9" w:rsidRPr="002901AF" w:rsidRDefault="005821E9" w:rsidP="00180F9D">
            <w:pPr>
              <w:numPr>
                <w:ilvl w:val="0"/>
                <w:numId w:val="25"/>
              </w:numPr>
              <w:spacing w:line="240" w:lineRule="auto"/>
              <w:jc w:val="both"/>
              <w:rPr>
                <w:rFonts w:ascii="Times New Roman" w:hAnsi="Times New Roman"/>
                <w:sz w:val="21"/>
                <w:szCs w:val="21"/>
              </w:rPr>
            </w:pPr>
            <w:r w:rsidRPr="0066079A">
              <w:rPr>
                <w:rFonts w:ascii="Times New Roman" w:hAnsi="Times New Roman"/>
                <w:sz w:val="21"/>
                <w:szCs w:val="21"/>
              </w:rPr>
              <w:t>uzupełnienie już uzgodnionych dotacji dla gospodarstw domowych o niskich dochodach, zwiększenie zasiłku dla osób dojeżdżających do pracy oraz obniżkę dopłaty EEG (przed uchwaleniem ustawy całkowicie znoszącej dopłaty EEG)</w:t>
            </w:r>
            <w:r w:rsidR="002901AF">
              <w:rPr>
                <w:rFonts w:ascii="Times New Roman" w:hAnsi="Times New Roman"/>
                <w:sz w:val="21"/>
                <w:szCs w:val="21"/>
              </w:rPr>
              <w:t xml:space="preserve">, </w:t>
            </w:r>
            <w:r w:rsidRPr="002901AF">
              <w:rPr>
                <w:rFonts w:ascii="Times New Roman" w:hAnsi="Times New Roman"/>
                <w:sz w:val="21"/>
                <w:szCs w:val="21"/>
              </w:rPr>
              <w:t xml:space="preserve">aby pomóc im w walce z rosnącymi kosztami energii elektrycznej i ogrzewania. </w:t>
            </w:r>
          </w:p>
          <w:p w14:paraId="7AFAA9C1" w14:textId="08701173" w:rsidR="005821E9" w:rsidRPr="0066079A" w:rsidRDefault="005821E9" w:rsidP="00180F9D">
            <w:pPr>
              <w:numPr>
                <w:ilvl w:val="0"/>
                <w:numId w:val="24"/>
              </w:numPr>
              <w:spacing w:line="240" w:lineRule="auto"/>
              <w:jc w:val="both"/>
              <w:rPr>
                <w:rFonts w:ascii="Times New Roman" w:hAnsi="Times New Roman"/>
                <w:sz w:val="21"/>
                <w:szCs w:val="21"/>
              </w:rPr>
            </w:pPr>
            <w:r w:rsidRPr="0066079A">
              <w:rPr>
                <w:rFonts w:ascii="Times New Roman" w:hAnsi="Times New Roman"/>
                <w:sz w:val="21"/>
                <w:szCs w:val="21"/>
              </w:rPr>
              <w:t xml:space="preserve">Pracownicy, którzy płacą podatek dochodowy, otrzymają jednorazowy dodatek energetyczny w wysokości 300 euro jako dodatek do pensji. Jest to uzupełnienie ogłoszonego w lutym pakietu środków o wartości około 13 mld euro, w tym zniesienia dopłat do rachunków za energię elektryczną w celu wsparcia zielonej energii. </w:t>
            </w:r>
            <w:r w:rsidR="002901AF">
              <w:rPr>
                <w:rFonts w:ascii="Times New Roman" w:hAnsi="Times New Roman"/>
                <w:sz w:val="21"/>
                <w:szCs w:val="21"/>
              </w:rPr>
              <w:t>Zaoferowano również</w:t>
            </w:r>
            <w:r w:rsidRPr="0066079A">
              <w:rPr>
                <w:rFonts w:ascii="Times New Roman" w:hAnsi="Times New Roman"/>
                <w:sz w:val="21"/>
                <w:szCs w:val="21"/>
              </w:rPr>
              <w:t xml:space="preserve"> 300 euro dla emerytów i 200 euro dla studentów.</w:t>
            </w:r>
          </w:p>
          <w:p w14:paraId="7D4F50A3" w14:textId="77777777" w:rsidR="005821E9" w:rsidRPr="0066079A" w:rsidRDefault="005821E9" w:rsidP="00180F9D">
            <w:pPr>
              <w:spacing w:line="240" w:lineRule="auto"/>
              <w:jc w:val="both"/>
              <w:rPr>
                <w:rFonts w:ascii="Times New Roman" w:hAnsi="Times New Roman"/>
                <w:sz w:val="21"/>
                <w:szCs w:val="21"/>
              </w:rPr>
            </w:pPr>
          </w:p>
          <w:p w14:paraId="66D58369" w14:textId="77777777" w:rsidR="005821E9" w:rsidRPr="0066079A" w:rsidRDefault="005821E9" w:rsidP="00180F9D">
            <w:pPr>
              <w:spacing w:line="240" w:lineRule="auto"/>
              <w:jc w:val="both"/>
              <w:rPr>
                <w:rFonts w:ascii="Times New Roman" w:hAnsi="Times New Roman"/>
                <w:sz w:val="21"/>
                <w:szCs w:val="21"/>
              </w:rPr>
            </w:pPr>
            <w:r w:rsidRPr="0066079A">
              <w:rPr>
                <w:rFonts w:ascii="Times New Roman" w:hAnsi="Times New Roman"/>
                <w:sz w:val="21"/>
                <w:szCs w:val="21"/>
              </w:rPr>
              <w:t>Włochy:</w:t>
            </w:r>
          </w:p>
          <w:p w14:paraId="281F3946" w14:textId="4E5A2E16" w:rsidR="005821E9" w:rsidRPr="0066079A" w:rsidRDefault="005821E9" w:rsidP="00180F9D">
            <w:pPr>
              <w:numPr>
                <w:ilvl w:val="0"/>
                <w:numId w:val="26"/>
              </w:numPr>
              <w:spacing w:line="240" w:lineRule="auto"/>
              <w:jc w:val="both"/>
              <w:rPr>
                <w:rFonts w:ascii="Times New Roman" w:hAnsi="Times New Roman"/>
                <w:sz w:val="21"/>
                <w:szCs w:val="21"/>
              </w:rPr>
            </w:pPr>
            <w:r w:rsidRPr="0066079A">
              <w:rPr>
                <w:rFonts w:ascii="Times New Roman" w:hAnsi="Times New Roman"/>
                <w:sz w:val="21"/>
                <w:szCs w:val="21"/>
              </w:rPr>
              <w:t>Włochy</w:t>
            </w:r>
            <w:r w:rsidR="002901AF">
              <w:rPr>
                <w:rFonts w:ascii="Times New Roman" w:hAnsi="Times New Roman"/>
                <w:sz w:val="21"/>
                <w:szCs w:val="21"/>
              </w:rPr>
              <w:t xml:space="preserve"> w dniu 19 marca 2022 r.</w:t>
            </w:r>
            <w:r w:rsidRPr="0066079A">
              <w:rPr>
                <w:rFonts w:ascii="Times New Roman" w:hAnsi="Times New Roman"/>
                <w:sz w:val="21"/>
                <w:szCs w:val="21"/>
              </w:rPr>
              <w:t xml:space="preserve"> zatwierdziły pakiet o wartości 4,4 mld euro, aby zwiększyć premię socjalną do 5,2 mln </w:t>
            </w:r>
            <w:r w:rsidR="002901AF">
              <w:rPr>
                <w:rFonts w:ascii="Times New Roman" w:hAnsi="Times New Roman"/>
                <w:sz w:val="21"/>
                <w:szCs w:val="21"/>
              </w:rPr>
              <w:t xml:space="preserve">dla </w:t>
            </w:r>
            <w:r w:rsidRPr="0066079A">
              <w:rPr>
                <w:rFonts w:ascii="Times New Roman" w:hAnsi="Times New Roman"/>
                <w:sz w:val="21"/>
                <w:szCs w:val="21"/>
              </w:rPr>
              <w:t>gospodarstw domowych (które będą płacić za energię elektryczną i gaz po cenach z lata 2021 r.). Został rozszerzony w</w:t>
            </w:r>
            <w:r w:rsidR="00A94E89" w:rsidRPr="0066079A">
              <w:rPr>
                <w:rFonts w:ascii="Times New Roman" w:hAnsi="Times New Roman"/>
                <w:sz w:val="21"/>
                <w:szCs w:val="21"/>
              </w:rPr>
              <w:t> </w:t>
            </w:r>
            <w:r w:rsidRPr="0066079A">
              <w:rPr>
                <w:rFonts w:ascii="Times New Roman" w:hAnsi="Times New Roman"/>
                <w:sz w:val="21"/>
                <w:szCs w:val="21"/>
              </w:rPr>
              <w:t>kwietniu – przysługuje wszystkim gospodarstwom o niskich dochodach</w:t>
            </w:r>
            <w:r w:rsidR="002901AF">
              <w:rPr>
                <w:rFonts w:ascii="Times New Roman" w:hAnsi="Times New Roman"/>
                <w:sz w:val="21"/>
                <w:szCs w:val="21"/>
              </w:rPr>
              <w:t>.</w:t>
            </w:r>
          </w:p>
          <w:p w14:paraId="50E4FC02" w14:textId="40662AE3" w:rsidR="005821E9" w:rsidRPr="0066079A" w:rsidRDefault="005821E9" w:rsidP="00180F9D">
            <w:pPr>
              <w:numPr>
                <w:ilvl w:val="0"/>
                <w:numId w:val="26"/>
              </w:numPr>
              <w:spacing w:line="240" w:lineRule="auto"/>
              <w:jc w:val="both"/>
              <w:rPr>
                <w:rFonts w:ascii="Times New Roman" w:hAnsi="Times New Roman"/>
                <w:sz w:val="21"/>
                <w:szCs w:val="21"/>
              </w:rPr>
            </w:pPr>
            <w:r w:rsidRPr="0066079A">
              <w:rPr>
                <w:rFonts w:ascii="Times New Roman" w:hAnsi="Times New Roman"/>
                <w:sz w:val="21"/>
                <w:szCs w:val="21"/>
              </w:rPr>
              <w:t>Umożliwi</w:t>
            </w:r>
            <w:r w:rsidR="002901AF">
              <w:rPr>
                <w:rFonts w:ascii="Times New Roman" w:hAnsi="Times New Roman"/>
                <w:sz w:val="21"/>
                <w:szCs w:val="21"/>
              </w:rPr>
              <w:t>ono</w:t>
            </w:r>
            <w:r w:rsidRPr="0066079A">
              <w:rPr>
                <w:rFonts w:ascii="Times New Roman" w:hAnsi="Times New Roman"/>
                <w:sz w:val="21"/>
                <w:szCs w:val="21"/>
              </w:rPr>
              <w:t xml:space="preserve"> obywatelom płaceni</w:t>
            </w:r>
            <w:r w:rsidR="002901AF">
              <w:rPr>
                <w:rFonts w:ascii="Times New Roman" w:hAnsi="Times New Roman"/>
                <w:sz w:val="21"/>
                <w:szCs w:val="21"/>
              </w:rPr>
              <w:t>e</w:t>
            </w:r>
            <w:r w:rsidRPr="0066079A">
              <w:rPr>
                <w:rFonts w:ascii="Times New Roman" w:hAnsi="Times New Roman"/>
                <w:sz w:val="21"/>
                <w:szCs w:val="21"/>
              </w:rPr>
              <w:t xml:space="preserve"> rachunków za energię w ratach</w:t>
            </w:r>
            <w:r w:rsidR="002901AF">
              <w:rPr>
                <w:rFonts w:ascii="Times New Roman" w:hAnsi="Times New Roman"/>
                <w:sz w:val="21"/>
                <w:szCs w:val="21"/>
              </w:rPr>
              <w:t>.</w:t>
            </w:r>
          </w:p>
          <w:p w14:paraId="7BA4C0CC" w14:textId="2A882134" w:rsidR="005821E9" w:rsidRPr="0066079A" w:rsidRDefault="005821E9" w:rsidP="00180F9D">
            <w:pPr>
              <w:numPr>
                <w:ilvl w:val="0"/>
                <w:numId w:val="26"/>
              </w:numPr>
              <w:spacing w:line="240" w:lineRule="auto"/>
              <w:jc w:val="both"/>
              <w:rPr>
                <w:rFonts w:ascii="Times New Roman" w:hAnsi="Times New Roman"/>
                <w:sz w:val="21"/>
                <w:szCs w:val="21"/>
              </w:rPr>
            </w:pPr>
            <w:r w:rsidRPr="0066079A">
              <w:rPr>
                <w:rFonts w:ascii="Times New Roman" w:hAnsi="Times New Roman"/>
                <w:sz w:val="21"/>
                <w:szCs w:val="21"/>
              </w:rPr>
              <w:t xml:space="preserve">Opłaty systemowe na rachunkach za energię elektryczną </w:t>
            </w:r>
            <w:r w:rsidR="002901AF" w:rsidRPr="0066079A">
              <w:rPr>
                <w:rFonts w:ascii="Times New Roman" w:hAnsi="Times New Roman"/>
                <w:sz w:val="21"/>
                <w:szCs w:val="21"/>
              </w:rPr>
              <w:t>b</w:t>
            </w:r>
            <w:r w:rsidR="002901AF">
              <w:rPr>
                <w:rFonts w:ascii="Times New Roman" w:hAnsi="Times New Roman"/>
                <w:sz w:val="21"/>
                <w:szCs w:val="21"/>
              </w:rPr>
              <w:t>yły</w:t>
            </w:r>
            <w:r w:rsidR="002901AF" w:rsidRPr="0066079A">
              <w:rPr>
                <w:rFonts w:ascii="Times New Roman" w:hAnsi="Times New Roman"/>
                <w:sz w:val="21"/>
                <w:szCs w:val="21"/>
              </w:rPr>
              <w:t xml:space="preserve"> </w:t>
            </w:r>
            <w:r w:rsidRPr="0066079A">
              <w:rPr>
                <w:rFonts w:ascii="Times New Roman" w:hAnsi="Times New Roman"/>
                <w:sz w:val="21"/>
                <w:szCs w:val="21"/>
              </w:rPr>
              <w:t>utrzymywane na poziomie zerowym przez całe lato, a</w:t>
            </w:r>
            <w:r w:rsidR="00A94E89" w:rsidRPr="0066079A">
              <w:rPr>
                <w:rFonts w:ascii="Times New Roman" w:hAnsi="Times New Roman"/>
                <w:sz w:val="21"/>
                <w:szCs w:val="21"/>
              </w:rPr>
              <w:t> </w:t>
            </w:r>
            <w:r w:rsidRPr="0066079A">
              <w:rPr>
                <w:rFonts w:ascii="Times New Roman" w:hAnsi="Times New Roman"/>
                <w:sz w:val="21"/>
                <w:szCs w:val="21"/>
              </w:rPr>
              <w:t>VTA zostanie ustalona na poziomie 5% rachunków za gaz.</w:t>
            </w:r>
          </w:p>
          <w:p w14:paraId="7A855DC6" w14:textId="77777777" w:rsidR="005821E9" w:rsidRPr="0066079A" w:rsidRDefault="005821E9" w:rsidP="00180F9D">
            <w:pPr>
              <w:spacing w:line="240" w:lineRule="auto"/>
              <w:jc w:val="both"/>
              <w:rPr>
                <w:rFonts w:ascii="Times New Roman" w:hAnsi="Times New Roman"/>
                <w:sz w:val="21"/>
                <w:szCs w:val="21"/>
              </w:rPr>
            </w:pPr>
          </w:p>
          <w:p w14:paraId="696B64F2" w14:textId="77777777" w:rsidR="005821E9" w:rsidRPr="0066079A" w:rsidRDefault="005821E9" w:rsidP="00180F9D">
            <w:pPr>
              <w:spacing w:line="240" w:lineRule="auto"/>
              <w:jc w:val="both"/>
              <w:rPr>
                <w:rFonts w:ascii="Times New Roman" w:hAnsi="Times New Roman"/>
                <w:sz w:val="21"/>
                <w:szCs w:val="21"/>
              </w:rPr>
            </w:pPr>
            <w:r w:rsidRPr="0066079A">
              <w:rPr>
                <w:rFonts w:ascii="Times New Roman" w:hAnsi="Times New Roman"/>
                <w:sz w:val="21"/>
                <w:szCs w:val="21"/>
              </w:rPr>
              <w:t>Luksemburg:</w:t>
            </w:r>
          </w:p>
          <w:p w14:paraId="580C8708" w14:textId="77777777" w:rsidR="005821E9" w:rsidRPr="0066079A" w:rsidRDefault="005821E9" w:rsidP="00180F9D">
            <w:pPr>
              <w:numPr>
                <w:ilvl w:val="0"/>
                <w:numId w:val="27"/>
              </w:numPr>
              <w:spacing w:line="240" w:lineRule="auto"/>
              <w:jc w:val="both"/>
              <w:rPr>
                <w:rFonts w:ascii="Times New Roman" w:hAnsi="Times New Roman"/>
                <w:sz w:val="21"/>
                <w:szCs w:val="21"/>
              </w:rPr>
            </w:pPr>
            <w:r w:rsidRPr="0066079A">
              <w:rPr>
                <w:rFonts w:ascii="Times New Roman" w:hAnsi="Times New Roman"/>
                <w:sz w:val="21"/>
                <w:szCs w:val="21"/>
              </w:rPr>
              <w:t>1 stycznia 2022 r. rząd zwiększył dodatek na koszty utrzymania o 200 euro, aby lepiej chronić wrażliwe gospodarstwa domowe przed rosnącymi cenami energii.</w:t>
            </w:r>
          </w:p>
          <w:p w14:paraId="73A5260E" w14:textId="77777777" w:rsidR="005821E9" w:rsidRPr="0066079A" w:rsidRDefault="005821E9" w:rsidP="00180F9D">
            <w:pPr>
              <w:numPr>
                <w:ilvl w:val="0"/>
                <w:numId w:val="27"/>
              </w:numPr>
              <w:spacing w:line="240" w:lineRule="auto"/>
              <w:jc w:val="both"/>
              <w:rPr>
                <w:rFonts w:ascii="Times New Roman" w:hAnsi="Times New Roman"/>
                <w:sz w:val="21"/>
                <w:szCs w:val="21"/>
              </w:rPr>
            </w:pPr>
            <w:r w:rsidRPr="0066079A">
              <w:rPr>
                <w:rFonts w:ascii="Times New Roman" w:hAnsi="Times New Roman"/>
                <w:sz w:val="21"/>
                <w:szCs w:val="21"/>
              </w:rPr>
              <w:t>Wprowadzono jednorazową premię energetyczną z pułapem 400 euro dla gospodarstw domowych o niskich dochodach. Świadczenie trafiło do gospodarstw domowych otrzymujących zasiłek na pokrycie kosztów utrzymania (COLA) oraz gospodarstw domowych, których dochód jest do 25% wyższy niż dochód osób uprawnionych do COLA.</w:t>
            </w:r>
          </w:p>
          <w:p w14:paraId="21B1D35C" w14:textId="77777777" w:rsidR="005821E9" w:rsidRPr="0066079A" w:rsidRDefault="005821E9" w:rsidP="00180F9D">
            <w:pPr>
              <w:numPr>
                <w:ilvl w:val="0"/>
                <w:numId w:val="27"/>
              </w:numPr>
              <w:spacing w:line="240" w:lineRule="auto"/>
              <w:jc w:val="both"/>
              <w:rPr>
                <w:rFonts w:ascii="Times New Roman" w:hAnsi="Times New Roman"/>
                <w:sz w:val="21"/>
                <w:szCs w:val="21"/>
              </w:rPr>
            </w:pPr>
            <w:r w:rsidRPr="0066079A">
              <w:rPr>
                <w:rFonts w:ascii="Times New Roman" w:hAnsi="Times New Roman"/>
                <w:sz w:val="21"/>
                <w:szCs w:val="21"/>
              </w:rPr>
              <w:t>Ceny energii elektrycznej zostały ustabilizowane poprzez zwiększenie wkładu państwa w mechanizm rekompensat za energię odnawialną.</w:t>
            </w:r>
          </w:p>
          <w:p w14:paraId="3E063608" w14:textId="77777777" w:rsidR="005821E9" w:rsidRPr="0066079A" w:rsidRDefault="005821E9" w:rsidP="00180F9D">
            <w:pPr>
              <w:numPr>
                <w:ilvl w:val="0"/>
                <w:numId w:val="27"/>
              </w:numPr>
              <w:spacing w:line="240" w:lineRule="auto"/>
              <w:jc w:val="both"/>
              <w:rPr>
                <w:rFonts w:ascii="Times New Roman" w:hAnsi="Times New Roman"/>
                <w:sz w:val="21"/>
                <w:szCs w:val="21"/>
              </w:rPr>
            </w:pPr>
            <w:r w:rsidRPr="0066079A">
              <w:rPr>
                <w:rFonts w:ascii="Times New Roman" w:hAnsi="Times New Roman"/>
                <w:sz w:val="21"/>
                <w:szCs w:val="21"/>
              </w:rPr>
              <w:t>Dla przedsiębiorstw wprowadzono rekompensatę za rosnące ceny energii. Zachęca się przedsiębiorstwa do dostarczania własnej energii elektrycznej, oferując nowe dotacje na panele słoneczne. Ponadto oferowane są „umowy zakupu energii”, aby zachęcić firmy do pozyskiwania większości energii bezpośrednio od dostawców energii odnawialnej.</w:t>
            </w:r>
          </w:p>
          <w:p w14:paraId="0F53A0EF" w14:textId="77777777" w:rsidR="005821E9" w:rsidRPr="0066079A" w:rsidRDefault="005821E9" w:rsidP="00180F9D">
            <w:pPr>
              <w:spacing w:line="240" w:lineRule="auto"/>
              <w:jc w:val="both"/>
              <w:rPr>
                <w:rFonts w:ascii="Times New Roman" w:hAnsi="Times New Roman"/>
                <w:sz w:val="21"/>
                <w:szCs w:val="21"/>
              </w:rPr>
            </w:pPr>
          </w:p>
          <w:p w14:paraId="1651A401" w14:textId="77777777" w:rsidR="005821E9" w:rsidRPr="0066079A" w:rsidRDefault="005821E9" w:rsidP="00180F9D">
            <w:pPr>
              <w:spacing w:line="240" w:lineRule="auto"/>
              <w:jc w:val="both"/>
              <w:rPr>
                <w:rFonts w:ascii="Times New Roman" w:hAnsi="Times New Roman"/>
                <w:sz w:val="21"/>
                <w:szCs w:val="21"/>
              </w:rPr>
            </w:pPr>
            <w:r w:rsidRPr="0066079A">
              <w:rPr>
                <w:rFonts w:ascii="Times New Roman" w:hAnsi="Times New Roman"/>
                <w:sz w:val="21"/>
                <w:szCs w:val="21"/>
              </w:rPr>
              <w:t>Portugalia:</w:t>
            </w:r>
          </w:p>
          <w:p w14:paraId="550D7029" w14:textId="71184AA4" w:rsidR="005821E9" w:rsidRPr="0066079A" w:rsidRDefault="002901AF" w:rsidP="00180F9D">
            <w:pPr>
              <w:numPr>
                <w:ilvl w:val="0"/>
                <w:numId w:val="28"/>
              </w:numPr>
              <w:spacing w:line="240" w:lineRule="auto"/>
              <w:jc w:val="both"/>
              <w:rPr>
                <w:rFonts w:ascii="Times New Roman" w:hAnsi="Times New Roman"/>
                <w:sz w:val="21"/>
                <w:szCs w:val="21"/>
              </w:rPr>
            </w:pPr>
            <w:r>
              <w:rPr>
                <w:rFonts w:ascii="Times New Roman" w:hAnsi="Times New Roman"/>
                <w:sz w:val="21"/>
                <w:szCs w:val="21"/>
              </w:rPr>
              <w:lastRenderedPageBreak/>
              <w:t>Z</w:t>
            </w:r>
            <w:r w:rsidR="005821E9" w:rsidRPr="0066079A">
              <w:rPr>
                <w:rFonts w:ascii="Times New Roman" w:hAnsi="Times New Roman"/>
                <w:sz w:val="21"/>
                <w:szCs w:val="21"/>
              </w:rPr>
              <w:t xml:space="preserve">niżki w drodze taryfy socjalnej na dostawy energii elektrycznej, </w:t>
            </w:r>
            <w:r w:rsidR="0009267A">
              <w:rPr>
                <w:rFonts w:ascii="Times New Roman" w:hAnsi="Times New Roman"/>
                <w:sz w:val="21"/>
                <w:szCs w:val="21"/>
              </w:rPr>
              <w:t>d</w:t>
            </w:r>
            <w:r w:rsidR="005821E9" w:rsidRPr="0066079A">
              <w:rPr>
                <w:rFonts w:ascii="Times New Roman" w:hAnsi="Times New Roman"/>
                <w:sz w:val="21"/>
                <w:szCs w:val="21"/>
              </w:rPr>
              <w:t xml:space="preserve">yskont w wysokości 33,8% dotyczy wszystkich, niezależnie od tego, czy są na rynku regulowanym czy zliberalizowanym. </w:t>
            </w:r>
          </w:p>
          <w:p w14:paraId="7F94BEC4" w14:textId="538FA676" w:rsidR="005821E9" w:rsidRPr="0066079A" w:rsidRDefault="005821E9" w:rsidP="00180F9D">
            <w:pPr>
              <w:numPr>
                <w:ilvl w:val="0"/>
                <w:numId w:val="28"/>
              </w:numPr>
              <w:spacing w:line="240" w:lineRule="auto"/>
              <w:jc w:val="both"/>
              <w:rPr>
                <w:rFonts w:ascii="Times New Roman" w:hAnsi="Times New Roman"/>
                <w:sz w:val="21"/>
                <w:szCs w:val="21"/>
              </w:rPr>
            </w:pPr>
            <w:r w:rsidRPr="0066079A">
              <w:rPr>
                <w:rFonts w:ascii="Times New Roman" w:hAnsi="Times New Roman"/>
                <w:sz w:val="21"/>
                <w:szCs w:val="21"/>
              </w:rPr>
              <w:t>Osoby wymagające szczególnego traktowania są również zwolnione z dwóch z trzech dodatkowych opłat i podatków nakładanych na rachunki za energię elektryczną</w:t>
            </w:r>
            <w:r w:rsidR="002901AF">
              <w:rPr>
                <w:rFonts w:ascii="Times New Roman" w:hAnsi="Times New Roman"/>
                <w:sz w:val="21"/>
                <w:szCs w:val="21"/>
              </w:rPr>
              <w:t>.</w:t>
            </w:r>
          </w:p>
          <w:p w14:paraId="0867584C" w14:textId="6EC028CE" w:rsidR="005821E9" w:rsidRPr="0066079A" w:rsidRDefault="005821E9" w:rsidP="00180F9D">
            <w:pPr>
              <w:numPr>
                <w:ilvl w:val="0"/>
                <w:numId w:val="28"/>
              </w:numPr>
              <w:spacing w:line="240" w:lineRule="auto"/>
              <w:jc w:val="both"/>
              <w:rPr>
                <w:rFonts w:ascii="Times New Roman" w:hAnsi="Times New Roman"/>
                <w:sz w:val="21"/>
                <w:szCs w:val="21"/>
              </w:rPr>
            </w:pPr>
            <w:r w:rsidRPr="0066079A">
              <w:rPr>
                <w:rFonts w:ascii="Times New Roman" w:hAnsi="Times New Roman"/>
                <w:sz w:val="21"/>
                <w:szCs w:val="21"/>
              </w:rPr>
              <w:t xml:space="preserve">8 czerwca 2022 r. Komisja Europejska zatwierdziła dotację w wysokości 2,1 mld euro dla Portugalii na obniżenie hurtowych cen energii elektrycznej do końca maja 2023 r. W ciągu pierwszych sześciu miesięcy obowiązywania środka </w:t>
            </w:r>
            <w:r w:rsidR="002901AF" w:rsidRPr="0066079A">
              <w:rPr>
                <w:rFonts w:ascii="Times New Roman" w:hAnsi="Times New Roman"/>
                <w:sz w:val="21"/>
                <w:szCs w:val="21"/>
              </w:rPr>
              <w:t>zosta</w:t>
            </w:r>
            <w:r w:rsidR="002901AF">
              <w:rPr>
                <w:rFonts w:ascii="Times New Roman" w:hAnsi="Times New Roman"/>
                <w:sz w:val="21"/>
                <w:szCs w:val="21"/>
              </w:rPr>
              <w:t>ł</w:t>
            </w:r>
            <w:r w:rsidR="002901AF" w:rsidRPr="0066079A">
              <w:rPr>
                <w:rFonts w:ascii="Times New Roman" w:hAnsi="Times New Roman"/>
                <w:sz w:val="21"/>
                <w:szCs w:val="21"/>
              </w:rPr>
              <w:t xml:space="preserve"> </w:t>
            </w:r>
            <w:r w:rsidRPr="0066079A">
              <w:rPr>
                <w:rFonts w:ascii="Times New Roman" w:hAnsi="Times New Roman"/>
                <w:sz w:val="21"/>
                <w:szCs w:val="21"/>
              </w:rPr>
              <w:t>ustalony pułap cenowy gazu na poziomie € 40/MWh. Od siódmego miesiąca pułap cenowy gazu wzrośnie o</w:t>
            </w:r>
            <w:r w:rsidR="00A94E89" w:rsidRPr="0066079A">
              <w:rPr>
                <w:rFonts w:ascii="Times New Roman" w:hAnsi="Times New Roman"/>
                <w:sz w:val="21"/>
                <w:szCs w:val="21"/>
              </w:rPr>
              <w:t> </w:t>
            </w:r>
            <w:r w:rsidRPr="0066079A">
              <w:rPr>
                <w:rFonts w:ascii="Times New Roman" w:hAnsi="Times New Roman"/>
                <w:sz w:val="21"/>
                <w:szCs w:val="21"/>
              </w:rPr>
              <w:t>5</w:t>
            </w:r>
            <w:r w:rsidR="00A94E89" w:rsidRPr="0066079A">
              <w:rPr>
                <w:rFonts w:ascii="Times New Roman" w:hAnsi="Times New Roman"/>
                <w:sz w:val="21"/>
                <w:szCs w:val="21"/>
              </w:rPr>
              <w:t> </w:t>
            </w:r>
            <w:r w:rsidRPr="0066079A">
              <w:rPr>
                <w:rFonts w:ascii="Times New Roman" w:hAnsi="Times New Roman"/>
                <w:sz w:val="21"/>
                <w:szCs w:val="21"/>
              </w:rPr>
              <w:t>euro miesięcznie, co w dwunastym miesiącu wyniesie 70 euro/MWh.</w:t>
            </w:r>
          </w:p>
          <w:p w14:paraId="7FB30F15" w14:textId="6414CD25" w:rsidR="005821E9" w:rsidRPr="0066079A" w:rsidRDefault="005821E9" w:rsidP="00180F9D">
            <w:pPr>
              <w:numPr>
                <w:ilvl w:val="0"/>
                <w:numId w:val="28"/>
              </w:numPr>
              <w:spacing w:line="240" w:lineRule="auto"/>
              <w:jc w:val="both"/>
              <w:rPr>
                <w:rFonts w:ascii="Times New Roman" w:hAnsi="Times New Roman"/>
                <w:sz w:val="21"/>
                <w:szCs w:val="21"/>
              </w:rPr>
            </w:pPr>
            <w:r w:rsidRPr="0066079A">
              <w:rPr>
                <w:rFonts w:ascii="Times New Roman" w:hAnsi="Times New Roman"/>
                <w:sz w:val="21"/>
                <w:szCs w:val="21"/>
              </w:rPr>
              <w:t>Pakiet o nazwie „Najpierw rodzina” obejmujący 125 euro, które mają zostać wysłane do każdego konsumenta o</w:t>
            </w:r>
            <w:r w:rsidR="00A94E89" w:rsidRPr="0066079A">
              <w:rPr>
                <w:rFonts w:ascii="Times New Roman" w:hAnsi="Times New Roman"/>
                <w:sz w:val="21"/>
                <w:szCs w:val="21"/>
              </w:rPr>
              <w:t> </w:t>
            </w:r>
            <w:r w:rsidRPr="0066079A">
              <w:rPr>
                <w:rFonts w:ascii="Times New Roman" w:hAnsi="Times New Roman"/>
                <w:sz w:val="21"/>
                <w:szCs w:val="21"/>
              </w:rPr>
              <w:t>dochodach poniżej 2700 miesięcznie, z dodatkowymi 50 euro na osobę pozostającą na utrzymaniu. Emeryci i renciści otrzymają również ryczałt w wysokości połowy miesięcznej emerytury.</w:t>
            </w:r>
          </w:p>
          <w:p w14:paraId="135690AB" w14:textId="1731261B" w:rsidR="005821E9" w:rsidRPr="0066079A" w:rsidRDefault="005821E9" w:rsidP="00180F9D">
            <w:pPr>
              <w:numPr>
                <w:ilvl w:val="0"/>
                <w:numId w:val="28"/>
              </w:numPr>
              <w:spacing w:line="240" w:lineRule="auto"/>
              <w:jc w:val="both"/>
              <w:rPr>
                <w:rFonts w:ascii="Times New Roman" w:hAnsi="Times New Roman"/>
                <w:sz w:val="21"/>
                <w:szCs w:val="21"/>
              </w:rPr>
            </w:pPr>
            <w:r w:rsidRPr="0066079A">
              <w:rPr>
                <w:rFonts w:ascii="Times New Roman" w:hAnsi="Times New Roman"/>
                <w:sz w:val="21"/>
                <w:szCs w:val="21"/>
              </w:rPr>
              <w:t>Obniżenie podatku VAT za energię elektryczną z 13% do 6%</w:t>
            </w:r>
            <w:r w:rsidR="002901AF">
              <w:rPr>
                <w:rFonts w:ascii="Times New Roman" w:hAnsi="Times New Roman"/>
                <w:sz w:val="21"/>
                <w:szCs w:val="21"/>
              </w:rPr>
              <w:t>.</w:t>
            </w:r>
          </w:p>
          <w:p w14:paraId="7AF8A34B" w14:textId="045DA289" w:rsidR="005821E9" w:rsidRPr="0066079A" w:rsidRDefault="005821E9" w:rsidP="00180F9D">
            <w:pPr>
              <w:numPr>
                <w:ilvl w:val="0"/>
                <w:numId w:val="28"/>
              </w:numPr>
              <w:spacing w:line="240" w:lineRule="auto"/>
              <w:jc w:val="both"/>
              <w:rPr>
                <w:rFonts w:ascii="Times New Roman" w:hAnsi="Times New Roman"/>
                <w:sz w:val="21"/>
                <w:szCs w:val="21"/>
              </w:rPr>
            </w:pPr>
            <w:r w:rsidRPr="0066079A">
              <w:rPr>
                <w:rFonts w:ascii="Times New Roman" w:hAnsi="Times New Roman"/>
                <w:sz w:val="21"/>
                <w:szCs w:val="21"/>
              </w:rPr>
              <w:t>15 grudnia 2022 r. ogłoszono zwiększenie jednorazowej składki na rzecz gospodarstw domowych w trudnej sytuacji do 240 euro</w:t>
            </w:r>
            <w:r w:rsidR="002901AF">
              <w:rPr>
                <w:rFonts w:ascii="Times New Roman" w:hAnsi="Times New Roman"/>
                <w:sz w:val="21"/>
                <w:szCs w:val="21"/>
              </w:rPr>
              <w:t>.</w:t>
            </w:r>
            <w:r w:rsidRPr="0066079A">
              <w:rPr>
                <w:rFonts w:ascii="Times New Roman" w:hAnsi="Times New Roman"/>
                <w:sz w:val="21"/>
                <w:szCs w:val="21"/>
              </w:rPr>
              <w:t xml:space="preserve"> </w:t>
            </w:r>
          </w:p>
          <w:p w14:paraId="6BCEAD0A" w14:textId="69A50AB7" w:rsidR="006A701A" w:rsidRPr="0066079A" w:rsidRDefault="006A701A" w:rsidP="00180F9D">
            <w:pPr>
              <w:spacing w:line="240" w:lineRule="auto"/>
              <w:jc w:val="both"/>
              <w:rPr>
                <w:rFonts w:ascii="Times New Roman" w:hAnsi="Times New Roman"/>
                <w:sz w:val="21"/>
                <w:szCs w:val="21"/>
              </w:rPr>
            </w:pPr>
          </w:p>
        </w:tc>
      </w:tr>
      <w:tr w:rsidR="006A701A" w:rsidRPr="0066079A" w14:paraId="53425017" w14:textId="77777777" w:rsidTr="00A87747">
        <w:trPr>
          <w:gridAfter w:val="1"/>
          <w:wAfter w:w="13" w:type="dxa"/>
          <w:trHeight w:val="359"/>
        </w:trPr>
        <w:tc>
          <w:tcPr>
            <w:tcW w:w="10937" w:type="dxa"/>
            <w:gridSpan w:val="29"/>
            <w:tcBorders>
              <w:bottom w:val="single" w:sz="4" w:space="0" w:color="auto"/>
            </w:tcBorders>
            <w:shd w:val="clear" w:color="auto" w:fill="99CCFF"/>
            <w:vAlign w:val="center"/>
          </w:tcPr>
          <w:p w14:paraId="63BFE1B2" w14:textId="77777777" w:rsidR="006A701A" w:rsidRPr="0066079A" w:rsidRDefault="006A701A" w:rsidP="00180F9D">
            <w:pPr>
              <w:numPr>
                <w:ilvl w:val="0"/>
                <w:numId w:val="3"/>
              </w:numPr>
              <w:spacing w:before="60" w:after="60" w:line="240" w:lineRule="auto"/>
              <w:ind w:left="318" w:hanging="284"/>
              <w:jc w:val="both"/>
              <w:rPr>
                <w:rFonts w:ascii="Times New Roman" w:hAnsi="Times New Roman"/>
                <w:b/>
                <w:color w:val="000000"/>
                <w:sz w:val="21"/>
                <w:szCs w:val="21"/>
              </w:rPr>
            </w:pPr>
            <w:r w:rsidRPr="0066079A">
              <w:rPr>
                <w:rFonts w:ascii="Times New Roman" w:hAnsi="Times New Roman"/>
                <w:b/>
                <w:color w:val="000000"/>
                <w:sz w:val="21"/>
                <w:szCs w:val="21"/>
              </w:rPr>
              <w:lastRenderedPageBreak/>
              <w:t>Podmioty, na które oddziałuje projekt</w:t>
            </w:r>
          </w:p>
        </w:tc>
      </w:tr>
      <w:tr w:rsidR="00260F33" w:rsidRPr="0066079A" w14:paraId="411117B6" w14:textId="77777777" w:rsidTr="00A87747">
        <w:trPr>
          <w:gridAfter w:val="1"/>
          <w:wAfter w:w="13" w:type="dxa"/>
          <w:trHeight w:val="142"/>
        </w:trPr>
        <w:tc>
          <w:tcPr>
            <w:tcW w:w="2664" w:type="dxa"/>
            <w:gridSpan w:val="3"/>
            <w:shd w:val="clear" w:color="auto" w:fill="auto"/>
          </w:tcPr>
          <w:p w14:paraId="320767CF" w14:textId="77777777" w:rsidR="00260F33" w:rsidRPr="0066079A" w:rsidRDefault="00260F33" w:rsidP="00180F9D">
            <w:pPr>
              <w:spacing w:before="40" w:line="240" w:lineRule="auto"/>
              <w:jc w:val="center"/>
              <w:rPr>
                <w:rFonts w:ascii="Times New Roman" w:hAnsi="Times New Roman"/>
                <w:color w:val="000000"/>
                <w:spacing w:val="-2"/>
                <w:sz w:val="21"/>
                <w:szCs w:val="21"/>
              </w:rPr>
            </w:pPr>
            <w:r w:rsidRPr="0066079A">
              <w:rPr>
                <w:rFonts w:ascii="Times New Roman" w:hAnsi="Times New Roman"/>
                <w:color w:val="000000"/>
                <w:spacing w:val="-2"/>
                <w:sz w:val="21"/>
                <w:szCs w:val="21"/>
              </w:rPr>
              <w:t>Grupa</w:t>
            </w:r>
          </w:p>
        </w:tc>
        <w:tc>
          <w:tcPr>
            <w:tcW w:w="2293" w:type="dxa"/>
            <w:gridSpan w:val="7"/>
            <w:shd w:val="clear" w:color="auto" w:fill="auto"/>
          </w:tcPr>
          <w:p w14:paraId="612647CA" w14:textId="77777777" w:rsidR="00260F33" w:rsidRPr="0066079A" w:rsidRDefault="00563199" w:rsidP="00180F9D">
            <w:pPr>
              <w:spacing w:before="40" w:line="240" w:lineRule="auto"/>
              <w:jc w:val="center"/>
              <w:rPr>
                <w:rFonts w:ascii="Times New Roman" w:hAnsi="Times New Roman"/>
                <w:color w:val="000000"/>
                <w:spacing w:val="-2"/>
                <w:sz w:val="21"/>
                <w:szCs w:val="21"/>
              </w:rPr>
            </w:pPr>
            <w:r w:rsidRPr="0066079A">
              <w:rPr>
                <w:rFonts w:ascii="Times New Roman" w:hAnsi="Times New Roman"/>
                <w:color w:val="000000"/>
                <w:spacing w:val="-2"/>
                <w:sz w:val="21"/>
                <w:szCs w:val="21"/>
              </w:rPr>
              <w:t>Wielkość</w:t>
            </w:r>
          </w:p>
        </w:tc>
        <w:tc>
          <w:tcPr>
            <w:tcW w:w="3000" w:type="dxa"/>
            <w:gridSpan w:val="12"/>
            <w:shd w:val="clear" w:color="auto" w:fill="auto"/>
          </w:tcPr>
          <w:p w14:paraId="149CF730" w14:textId="77777777" w:rsidR="00260F33" w:rsidRPr="0066079A" w:rsidRDefault="00260F33" w:rsidP="00180F9D">
            <w:pPr>
              <w:spacing w:before="40" w:line="240" w:lineRule="auto"/>
              <w:jc w:val="center"/>
              <w:rPr>
                <w:rFonts w:ascii="Times New Roman" w:hAnsi="Times New Roman"/>
                <w:color w:val="000000"/>
                <w:spacing w:val="-2"/>
                <w:sz w:val="21"/>
                <w:szCs w:val="21"/>
              </w:rPr>
            </w:pPr>
            <w:r w:rsidRPr="0066079A">
              <w:rPr>
                <w:rFonts w:ascii="Times New Roman" w:hAnsi="Times New Roman"/>
                <w:color w:val="000000"/>
                <w:spacing w:val="-2"/>
                <w:sz w:val="21"/>
                <w:szCs w:val="21"/>
              </w:rPr>
              <w:t>Źródło danych</w:t>
            </w:r>
            <w:r w:rsidRPr="0066079A" w:rsidDel="00260F33">
              <w:rPr>
                <w:rFonts w:ascii="Times New Roman" w:hAnsi="Times New Roman"/>
                <w:color w:val="000000"/>
                <w:spacing w:val="-2"/>
                <w:sz w:val="21"/>
                <w:szCs w:val="21"/>
              </w:rPr>
              <w:t xml:space="preserve"> </w:t>
            </w:r>
          </w:p>
        </w:tc>
        <w:tc>
          <w:tcPr>
            <w:tcW w:w="2980" w:type="dxa"/>
            <w:gridSpan w:val="7"/>
            <w:shd w:val="clear" w:color="auto" w:fill="auto"/>
          </w:tcPr>
          <w:p w14:paraId="64C3A801" w14:textId="77777777" w:rsidR="00260F33" w:rsidRPr="0066079A" w:rsidRDefault="00260F33" w:rsidP="00180F9D">
            <w:pPr>
              <w:spacing w:before="40" w:line="240" w:lineRule="auto"/>
              <w:jc w:val="center"/>
              <w:rPr>
                <w:rFonts w:ascii="Times New Roman" w:hAnsi="Times New Roman"/>
                <w:color w:val="000000"/>
                <w:spacing w:val="-2"/>
                <w:sz w:val="21"/>
                <w:szCs w:val="21"/>
              </w:rPr>
            </w:pPr>
            <w:r w:rsidRPr="0066079A">
              <w:rPr>
                <w:rFonts w:ascii="Times New Roman" w:hAnsi="Times New Roman"/>
                <w:color w:val="000000"/>
                <w:spacing w:val="-2"/>
                <w:sz w:val="21"/>
                <w:szCs w:val="21"/>
              </w:rPr>
              <w:t>Oddziaływanie</w:t>
            </w:r>
          </w:p>
        </w:tc>
      </w:tr>
      <w:tr w:rsidR="005821E9" w:rsidRPr="0066079A" w14:paraId="6E2ED6C7" w14:textId="77777777" w:rsidTr="00A87747">
        <w:trPr>
          <w:gridAfter w:val="1"/>
          <w:wAfter w:w="13" w:type="dxa"/>
          <w:trHeight w:val="142"/>
        </w:trPr>
        <w:tc>
          <w:tcPr>
            <w:tcW w:w="2664" w:type="dxa"/>
            <w:gridSpan w:val="3"/>
            <w:shd w:val="clear" w:color="auto" w:fill="auto"/>
          </w:tcPr>
          <w:p w14:paraId="47C789CB" w14:textId="77777777" w:rsidR="005821E9" w:rsidRPr="0066079A" w:rsidRDefault="005821E9" w:rsidP="00180F9D">
            <w:pPr>
              <w:spacing w:line="240" w:lineRule="auto"/>
              <w:rPr>
                <w:rFonts w:ascii="Times New Roman" w:hAnsi="Times New Roman"/>
                <w:color w:val="000000"/>
                <w:spacing w:val="-2"/>
                <w:sz w:val="21"/>
                <w:szCs w:val="21"/>
              </w:rPr>
            </w:pPr>
            <w:r w:rsidRPr="0066079A">
              <w:rPr>
                <w:rFonts w:ascii="Times New Roman" w:hAnsi="Times New Roman"/>
                <w:color w:val="000000"/>
                <w:sz w:val="21"/>
                <w:szCs w:val="21"/>
              </w:rPr>
              <w:t>Odbiorcy energii elektrycznej w gospodarstwach domowych oraz pozostały zakres odbiorców z grupy taryfowej G</w:t>
            </w:r>
          </w:p>
        </w:tc>
        <w:tc>
          <w:tcPr>
            <w:tcW w:w="2293" w:type="dxa"/>
            <w:gridSpan w:val="7"/>
            <w:shd w:val="clear" w:color="auto" w:fill="auto"/>
          </w:tcPr>
          <w:p w14:paraId="4CFE0112" w14:textId="77777777" w:rsidR="005821E9" w:rsidRPr="0066079A" w:rsidRDefault="005821E9" w:rsidP="00180F9D">
            <w:pPr>
              <w:spacing w:line="240" w:lineRule="auto"/>
              <w:jc w:val="center"/>
              <w:rPr>
                <w:rFonts w:ascii="Times New Roman" w:hAnsi="Times New Roman"/>
                <w:color w:val="000000"/>
                <w:spacing w:val="-2"/>
                <w:sz w:val="21"/>
                <w:szCs w:val="21"/>
                <w:highlight w:val="red"/>
              </w:rPr>
            </w:pPr>
            <w:r w:rsidRPr="0066079A">
              <w:rPr>
                <w:rFonts w:ascii="Times New Roman" w:hAnsi="Times New Roman"/>
                <w:color w:val="000000"/>
                <w:spacing w:val="-2"/>
                <w:sz w:val="21"/>
                <w:szCs w:val="21"/>
              </w:rPr>
              <w:t>16,8 mln</w:t>
            </w:r>
          </w:p>
        </w:tc>
        <w:tc>
          <w:tcPr>
            <w:tcW w:w="3000" w:type="dxa"/>
            <w:gridSpan w:val="12"/>
            <w:shd w:val="clear" w:color="auto" w:fill="auto"/>
          </w:tcPr>
          <w:p w14:paraId="477BDE97" w14:textId="77777777" w:rsidR="005821E9" w:rsidRPr="0066079A" w:rsidRDefault="005821E9" w:rsidP="00180F9D">
            <w:pPr>
              <w:spacing w:line="240" w:lineRule="auto"/>
              <w:rPr>
                <w:rFonts w:ascii="Times New Roman" w:hAnsi="Times New Roman"/>
                <w:color w:val="000000"/>
                <w:spacing w:val="-2"/>
                <w:sz w:val="21"/>
                <w:szCs w:val="21"/>
                <w:highlight w:val="red"/>
              </w:rPr>
            </w:pPr>
            <w:r w:rsidRPr="0066079A">
              <w:rPr>
                <w:rFonts w:ascii="Times New Roman" w:hAnsi="Times New Roman"/>
                <w:color w:val="000000"/>
                <w:spacing w:val="-2"/>
                <w:sz w:val="21"/>
                <w:szCs w:val="21"/>
              </w:rPr>
              <w:t>Biuletyn Informacji Publicznej Urzędu Regulacji Energetyki</w:t>
            </w:r>
          </w:p>
        </w:tc>
        <w:tc>
          <w:tcPr>
            <w:tcW w:w="2980" w:type="dxa"/>
            <w:gridSpan w:val="7"/>
            <w:shd w:val="clear" w:color="auto" w:fill="auto"/>
          </w:tcPr>
          <w:p w14:paraId="76171288" w14:textId="6A0D8817" w:rsidR="005821E9" w:rsidRPr="0066079A" w:rsidRDefault="005821E9" w:rsidP="00180F9D">
            <w:pPr>
              <w:spacing w:line="240" w:lineRule="auto"/>
              <w:rPr>
                <w:rFonts w:ascii="Times New Roman" w:hAnsi="Times New Roman"/>
                <w:color w:val="000000"/>
                <w:spacing w:val="-2"/>
                <w:sz w:val="21"/>
                <w:szCs w:val="21"/>
              </w:rPr>
            </w:pPr>
            <w:r w:rsidRPr="0066079A">
              <w:rPr>
                <w:rFonts w:ascii="Times New Roman" w:hAnsi="Times New Roman"/>
                <w:color w:val="000000"/>
                <w:spacing w:val="-2"/>
                <w:sz w:val="21"/>
                <w:szCs w:val="21"/>
              </w:rPr>
              <w:t>Odbiorcy energii elektrycznej w</w:t>
            </w:r>
            <w:r w:rsidR="00A94E89" w:rsidRPr="0066079A">
              <w:rPr>
                <w:rFonts w:ascii="Times New Roman" w:hAnsi="Times New Roman"/>
                <w:color w:val="000000"/>
                <w:spacing w:val="-2"/>
                <w:sz w:val="21"/>
                <w:szCs w:val="21"/>
              </w:rPr>
              <w:t> </w:t>
            </w:r>
            <w:r w:rsidRPr="0066079A">
              <w:rPr>
                <w:rFonts w:ascii="Times New Roman" w:hAnsi="Times New Roman"/>
                <w:color w:val="000000"/>
                <w:spacing w:val="-2"/>
                <w:sz w:val="21"/>
                <w:szCs w:val="21"/>
              </w:rPr>
              <w:t>gospodarstwach domowych zostaną objęci realną ochroną przed nadmiernymi podwyżkami cen energii elektrycznej w 2024 r.</w:t>
            </w:r>
          </w:p>
        </w:tc>
      </w:tr>
      <w:tr w:rsidR="00260F33" w:rsidRPr="00E91019" w14:paraId="7EBB2401" w14:textId="77777777" w:rsidTr="00A87747">
        <w:trPr>
          <w:gridAfter w:val="1"/>
          <w:wAfter w:w="13" w:type="dxa"/>
          <w:trHeight w:val="142"/>
        </w:trPr>
        <w:tc>
          <w:tcPr>
            <w:tcW w:w="2664" w:type="dxa"/>
            <w:gridSpan w:val="3"/>
            <w:shd w:val="clear" w:color="auto" w:fill="auto"/>
          </w:tcPr>
          <w:p w14:paraId="15F27560" w14:textId="77777777" w:rsidR="00260F33" w:rsidRPr="00E91019" w:rsidRDefault="005821E9" w:rsidP="00180F9D">
            <w:pPr>
              <w:tabs>
                <w:tab w:val="left" w:pos="1560"/>
              </w:tabs>
              <w:spacing w:line="240" w:lineRule="auto"/>
              <w:rPr>
                <w:rFonts w:ascii="Times New Roman" w:hAnsi="Times New Roman"/>
                <w:color w:val="000000"/>
                <w:sz w:val="21"/>
                <w:szCs w:val="21"/>
              </w:rPr>
            </w:pPr>
            <w:r w:rsidRPr="00E91019">
              <w:rPr>
                <w:rFonts w:ascii="Times New Roman" w:hAnsi="Times New Roman"/>
                <w:color w:val="000000"/>
                <w:sz w:val="21"/>
                <w:szCs w:val="21"/>
              </w:rPr>
              <w:t>Odbiorcy energii elektrycznej, wykorzystujący jako główne źródło ogrzewania energię elektryczną</w:t>
            </w:r>
          </w:p>
        </w:tc>
        <w:tc>
          <w:tcPr>
            <w:tcW w:w="2293" w:type="dxa"/>
            <w:gridSpan w:val="7"/>
            <w:shd w:val="clear" w:color="auto" w:fill="auto"/>
          </w:tcPr>
          <w:p w14:paraId="118D98B4" w14:textId="77777777" w:rsidR="00CD15DB" w:rsidRPr="00E91019" w:rsidRDefault="00CD15DB" w:rsidP="00180F9D">
            <w:pPr>
              <w:spacing w:line="240" w:lineRule="auto"/>
              <w:jc w:val="center"/>
              <w:rPr>
                <w:rFonts w:ascii="Times New Roman" w:hAnsi="Times New Roman"/>
                <w:color w:val="000000"/>
                <w:spacing w:val="-2"/>
                <w:sz w:val="21"/>
                <w:szCs w:val="21"/>
              </w:rPr>
            </w:pPr>
            <w:r w:rsidRPr="00E91019">
              <w:rPr>
                <w:rFonts w:ascii="Times New Roman" w:hAnsi="Times New Roman"/>
                <w:color w:val="000000"/>
                <w:spacing w:val="-2"/>
                <w:sz w:val="21"/>
                <w:szCs w:val="21"/>
              </w:rPr>
              <w:t>840 000</w:t>
            </w:r>
          </w:p>
        </w:tc>
        <w:tc>
          <w:tcPr>
            <w:tcW w:w="3000" w:type="dxa"/>
            <w:gridSpan w:val="12"/>
            <w:shd w:val="clear" w:color="auto" w:fill="auto"/>
          </w:tcPr>
          <w:p w14:paraId="0027E70B" w14:textId="77777777" w:rsidR="00260F33" w:rsidRPr="00E91019" w:rsidRDefault="00CD15DB" w:rsidP="00180F9D">
            <w:pPr>
              <w:spacing w:line="240" w:lineRule="auto"/>
              <w:rPr>
                <w:rFonts w:ascii="Times New Roman" w:hAnsi="Times New Roman"/>
                <w:color w:val="000000"/>
                <w:spacing w:val="-2"/>
                <w:sz w:val="21"/>
                <w:szCs w:val="21"/>
              </w:rPr>
            </w:pPr>
            <w:r w:rsidRPr="00E91019">
              <w:rPr>
                <w:rFonts w:ascii="Times New Roman" w:hAnsi="Times New Roman"/>
                <w:color w:val="000000"/>
                <w:spacing w:val="-2"/>
                <w:sz w:val="21"/>
                <w:szCs w:val="21"/>
              </w:rPr>
              <w:t>Oszacowanie własne (5% z 16,8mln )</w:t>
            </w:r>
          </w:p>
        </w:tc>
        <w:tc>
          <w:tcPr>
            <w:tcW w:w="2980" w:type="dxa"/>
            <w:gridSpan w:val="7"/>
            <w:shd w:val="clear" w:color="auto" w:fill="auto"/>
          </w:tcPr>
          <w:p w14:paraId="15D74693" w14:textId="6EFCE908" w:rsidR="00260F33" w:rsidRPr="00E91019" w:rsidRDefault="00CD15DB" w:rsidP="00180F9D">
            <w:pPr>
              <w:spacing w:line="240" w:lineRule="auto"/>
              <w:rPr>
                <w:rFonts w:ascii="Times New Roman" w:hAnsi="Times New Roman"/>
                <w:color w:val="000000"/>
                <w:spacing w:val="-2"/>
                <w:sz w:val="21"/>
                <w:szCs w:val="21"/>
              </w:rPr>
            </w:pPr>
            <w:r w:rsidRPr="00E91019">
              <w:rPr>
                <w:rFonts w:ascii="Times New Roman" w:hAnsi="Times New Roman"/>
                <w:color w:val="000000"/>
                <w:spacing w:val="-2"/>
                <w:sz w:val="21"/>
                <w:szCs w:val="21"/>
              </w:rPr>
              <w:t>Odbiorcy energii w</w:t>
            </w:r>
            <w:r w:rsidR="007A7866" w:rsidRPr="00E91019">
              <w:rPr>
                <w:rFonts w:ascii="Times New Roman" w:hAnsi="Times New Roman"/>
                <w:color w:val="000000"/>
                <w:spacing w:val="-2"/>
                <w:sz w:val="21"/>
                <w:szCs w:val="21"/>
              </w:rPr>
              <w:t> </w:t>
            </w:r>
            <w:r w:rsidRPr="00E91019">
              <w:rPr>
                <w:rFonts w:ascii="Times New Roman" w:hAnsi="Times New Roman"/>
                <w:color w:val="000000"/>
                <w:spacing w:val="-2"/>
                <w:sz w:val="21"/>
                <w:szCs w:val="21"/>
              </w:rPr>
              <w:t xml:space="preserve">gospodarstwach domowych, wykorzystujący </w:t>
            </w:r>
            <w:r w:rsidR="00E907EB" w:rsidRPr="00E91019">
              <w:rPr>
                <w:rFonts w:ascii="Times New Roman" w:hAnsi="Times New Roman"/>
                <w:color w:val="000000"/>
                <w:spacing w:val="-2"/>
                <w:sz w:val="21"/>
                <w:szCs w:val="21"/>
              </w:rPr>
              <w:t>do</w:t>
            </w:r>
            <w:r w:rsidRPr="00E91019">
              <w:rPr>
                <w:rFonts w:ascii="Times New Roman" w:hAnsi="Times New Roman"/>
                <w:color w:val="000000"/>
                <w:spacing w:val="-2"/>
                <w:sz w:val="21"/>
                <w:szCs w:val="21"/>
              </w:rPr>
              <w:t xml:space="preserve"> ogrzewania energię elektryczną </w:t>
            </w:r>
            <w:r w:rsidR="00551BAD" w:rsidRPr="00E91019">
              <w:rPr>
                <w:rFonts w:ascii="Times New Roman" w:hAnsi="Times New Roman"/>
                <w:color w:val="000000"/>
                <w:spacing w:val="-2"/>
                <w:sz w:val="21"/>
                <w:szCs w:val="21"/>
              </w:rPr>
              <w:t xml:space="preserve">zostaną objęci realną ochroną przed nadmiernymi podwyżkami cen energii elektrycznej w 2024 r. Dodatkowo </w:t>
            </w:r>
            <w:r w:rsidR="002762E4" w:rsidRPr="00E91019">
              <w:rPr>
                <w:rFonts w:ascii="Times New Roman" w:hAnsi="Times New Roman"/>
                <w:color w:val="000000"/>
                <w:spacing w:val="-2"/>
                <w:sz w:val="21"/>
                <w:szCs w:val="21"/>
              </w:rPr>
              <w:t xml:space="preserve">gospodarstwa kwalifikujące się do przyznania bonu energetycznego </w:t>
            </w:r>
            <w:r w:rsidRPr="00E91019">
              <w:rPr>
                <w:rFonts w:ascii="Times New Roman" w:hAnsi="Times New Roman"/>
                <w:color w:val="000000"/>
                <w:spacing w:val="-2"/>
                <w:sz w:val="21"/>
                <w:szCs w:val="21"/>
              </w:rPr>
              <w:t>otrzymają wyższe</w:t>
            </w:r>
            <w:r w:rsidR="00883450" w:rsidRPr="00E91019">
              <w:rPr>
                <w:rFonts w:ascii="Times New Roman" w:hAnsi="Times New Roman"/>
                <w:color w:val="000000"/>
                <w:spacing w:val="-2"/>
                <w:sz w:val="21"/>
                <w:szCs w:val="21"/>
              </w:rPr>
              <w:t xml:space="preserve"> o</w:t>
            </w:r>
            <w:r w:rsidR="00A94E89" w:rsidRPr="00E91019">
              <w:rPr>
                <w:rFonts w:ascii="Times New Roman" w:hAnsi="Times New Roman"/>
                <w:color w:val="000000"/>
                <w:spacing w:val="-2"/>
                <w:sz w:val="21"/>
                <w:szCs w:val="21"/>
              </w:rPr>
              <w:t> </w:t>
            </w:r>
            <w:r w:rsidR="007A06C5" w:rsidRPr="00E91019">
              <w:rPr>
                <w:rFonts w:ascii="Times New Roman" w:hAnsi="Times New Roman"/>
                <w:color w:val="000000"/>
                <w:spacing w:val="-2"/>
                <w:sz w:val="21"/>
                <w:szCs w:val="21"/>
              </w:rPr>
              <w:t>100</w:t>
            </w:r>
            <w:r w:rsidR="00883450" w:rsidRPr="00E91019">
              <w:rPr>
                <w:rFonts w:ascii="Times New Roman" w:hAnsi="Times New Roman"/>
                <w:color w:val="000000"/>
                <w:spacing w:val="-2"/>
                <w:sz w:val="21"/>
                <w:szCs w:val="21"/>
              </w:rPr>
              <w:t>%</w:t>
            </w:r>
            <w:r w:rsidRPr="00E91019">
              <w:rPr>
                <w:rFonts w:ascii="Times New Roman" w:hAnsi="Times New Roman"/>
                <w:color w:val="000000"/>
                <w:spacing w:val="-2"/>
                <w:sz w:val="21"/>
                <w:szCs w:val="21"/>
              </w:rPr>
              <w:t xml:space="preserve"> wsparcie</w:t>
            </w:r>
          </w:p>
        </w:tc>
      </w:tr>
      <w:tr w:rsidR="00BE1062" w:rsidRPr="00E91019" w14:paraId="08B32E4F" w14:textId="77777777" w:rsidTr="00A87747">
        <w:trPr>
          <w:gridAfter w:val="1"/>
          <w:wAfter w:w="13" w:type="dxa"/>
          <w:trHeight w:val="142"/>
        </w:trPr>
        <w:tc>
          <w:tcPr>
            <w:tcW w:w="2664" w:type="dxa"/>
            <w:gridSpan w:val="3"/>
            <w:shd w:val="clear" w:color="auto" w:fill="auto"/>
          </w:tcPr>
          <w:p w14:paraId="6FCB6B22" w14:textId="77777777" w:rsidR="00C93EF2" w:rsidRPr="001176EE" w:rsidRDefault="00C93EF2" w:rsidP="00180F9D">
            <w:pPr>
              <w:tabs>
                <w:tab w:val="left" w:pos="1560"/>
              </w:tabs>
              <w:spacing w:line="240" w:lineRule="auto"/>
              <w:rPr>
                <w:rFonts w:ascii="Times New Roman" w:hAnsi="Times New Roman"/>
                <w:color w:val="000000"/>
                <w:sz w:val="21"/>
                <w:szCs w:val="21"/>
              </w:rPr>
            </w:pPr>
            <w:r w:rsidRPr="001176EE">
              <w:rPr>
                <w:rFonts w:ascii="Times New Roman" w:hAnsi="Times New Roman"/>
                <w:color w:val="000000"/>
                <w:sz w:val="21"/>
                <w:szCs w:val="21"/>
              </w:rPr>
              <w:t>Mikro, małe i średnie</w:t>
            </w:r>
          </w:p>
          <w:p w14:paraId="69D9EA24" w14:textId="77777777" w:rsidR="00C93EF2" w:rsidRPr="001176EE" w:rsidRDefault="00C93EF2" w:rsidP="00180F9D">
            <w:pPr>
              <w:tabs>
                <w:tab w:val="left" w:pos="1560"/>
              </w:tabs>
              <w:spacing w:line="240" w:lineRule="auto"/>
              <w:rPr>
                <w:rFonts w:ascii="Times New Roman" w:hAnsi="Times New Roman"/>
                <w:color w:val="000000"/>
                <w:sz w:val="21"/>
                <w:szCs w:val="21"/>
              </w:rPr>
            </w:pPr>
            <w:r w:rsidRPr="001176EE">
              <w:rPr>
                <w:rFonts w:ascii="Times New Roman" w:hAnsi="Times New Roman"/>
                <w:color w:val="000000"/>
                <w:sz w:val="21"/>
                <w:szCs w:val="21"/>
              </w:rPr>
              <w:t>przedsiębiorstwa</w:t>
            </w:r>
          </w:p>
          <w:p w14:paraId="24D34E38" w14:textId="5CF598AD" w:rsidR="00BE1062" w:rsidRPr="001176EE" w:rsidRDefault="00BE1062" w:rsidP="00180F9D">
            <w:pPr>
              <w:tabs>
                <w:tab w:val="left" w:pos="1560"/>
              </w:tabs>
              <w:spacing w:line="240" w:lineRule="auto"/>
              <w:rPr>
                <w:rFonts w:ascii="Times New Roman" w:hAnsi="Times New Roman"/>
                <w:color w:val="000000"/>
                <w:sz w:val="21"/>
                <w:szCs w:val="21"/>
              </w:rPr>
            </w:pPr>
          </w:p>
        </w:tc>
        <w:tc>
          <w:tcPr>
            <w:tcW w:w="2293" w:type="dxa"/>
            <w:gridSpan w:val="7"/>
            <w:shd w:val="clear" w:color="auto" w:fill="auto"/>
          </w:tcPr>
          <w:p w14:paraId="596C78C2" w14:textId="7AE24CEC" w:rsidR="00BE1062" w:rsidRPr="001176EE" w:rsidRDefault="007A6321" w:rsidP="00180F9D">
            <w:pPr>
              <w:spacing w:line="240" w:lineRule="auto"/>
              <w:jc w:val="center"/>
              <w:rPr>
                <w:rFonts w:ascii="Times New Roman" w:hAnsi="Times New Roman"/>
                <w:color w:val="000000"/>
                <w:spacing w:val="-2"/>
                <w:sz w:val="21"/>
                <w:szCs w:val="21"/>
              </w:rPr>
            </w:pPr>
            <w:r w:rsidRPr="001176EE">
              <w:rPr>
                <w:rFonts w:ascii="Times New Roman" w:hAnsi="Times New Roman"/>
                <w:color w:val="000000"/>
                <w:spacing w:val="-2"/>
                <w:sz w:val="21"/>
                <w:szCs w:val="21"/>
              </w:rPr>
              <w:t xml:space="preserve">Ok. </w:t>
            </w:r>
            <w:r w:rsidRPr="001176EE">
              <w:rPr>
                <w:rFonts w:ascii="Times New Roman" w:hAnsi="Times New Roman"/>
                <w:color w:val="000000"/>
                <w:sz w:val="21"/>
                <w:szCs w:val="21"/>
              </w:rPr>
              <w:t>2,</w:t>
            </w:r>
            <w:r w:rsidR="004A2235" w:rsidRPr="001176EE">
              <w:rPr>
                <w:rFonts w:ascii="Times New Roman" w:hAnsi="Times New Roman"/>
                <w:color w:val="000000"/>
                <w:sz w:val="21"/>
                <w:szCs w:val="21"/>
              </w:rPr>
              <w:t>3</w:t>
            </w:r>
            <w:r w:rsidRPr="001176EE">
              <w:rPr>
                <w:rFonts w:ascii="Times New Roman" w:hAnsi="Times New Roman"/>
                <w:color w:val="000000"/>
                <w:sz w:val="21"/>
                <w:szCs w:val="21"/>
              </w:rPr>
              <w:t xml:space="preserve"> mln</w:t>
            </w:r>
          </w:p>
        </w:tc>
        <w:tc>
          <w:tcPr>
            <w:tcW w:w="3000" w:type="dxa"/>
            <w:gridSpan w:val="12"/>
            <w:shd w:val="clear" w:color="auto" w:fill="auto"/>
          </w:tcPr>
          <w:p w14:paraId="31619015" w14:textId="3DA09420" w:rsidR="00BE1062" w:rsidRPr="001176EE" w:rsidRDefault="0034681C" w:rsidP="00180F9D">
            <w:pPr>
              <w:spacing w:line="240" w:lineRule="auto"/>
              <w:rPr>
                <w:rFonts w:ascii="Times New Roman" w:hAnsi="Times New Roman"/>
                <w:color w:val="000000"/>
                <w:spacing w:val="-2"/>
                <w:sz w:val="21"/>
                <w:szCs w:val="21"/>
              </w:rPr>
            </w:pPr>
            <w:r w:rsidRPr="001176EE">
              <w:rPr>
                <w:rFonts w:ascii="Times New Roman" w:hAnsi="Times New Roman"/>
                <w:color w:val="000000"/>
                <w:spacing w:val="-2"/>
                <w:sz w:val="21"/>
                <w:szCs w:val="21"/>
              </w:rPr>
              <w:t>Osz</w:t>
            </w:r>
            <w:r w:rsidR="005A71A0" w:rsidRPr="001176EE">
              <w:rPr>
                <w:rFonts w:ascii="Times New Roman" w:hAnsi="Times New Roman"/>
                <w:color w:val="000000"/>
                <w:spacing w:val="-2"/>
                <w:sz w:val="21"/>
                <w:szCs w:val="21"/>
              </w:rPr>
              <w:t xml:space="preserve">acowanie własne na podstawie danych </w:t>
            </w:r>
            <w:r w:rsidR="004A2235" w:rsidRPr="001176EE">
              <w:rPr>
                <w:rFonts w:ascii="Times New Roman" w:hAnsi="Times New Roman"/>
                <w:color w:val="000000"/>
                <w:spacing w:val="-2"/>
                <w:sz w:val="21"/>
                <w:szCs w:val="21"/>
              </w:rPr>
              <w:t>GUS</w:t>
            </w:r>
          </w:p>
        </w:tc>
        <w:tc>
          <w:tcPr>
            <w:tcW w:w="2980" w:type="dxa"/>
            <w:gridSpan w:val="7"/>
            <w:shd w:val="clear" w:color="auto" w:fill="auto"/>
          </w:tcPr>
          <w:p w14:paraId="06E134CC" w14:textId="7E25D2E8" w:rsidR="00BE1062" w:rsidRPr="001176EE" w:rsidRDefault="005A71A0" w:rsidP="00180F9D">
            <w:pPr>
              <w:spacing w:line="240" w:lineRule="auto"/>
              <w:rPr>
                <w:rFonts w:ascii="Times New Roman" w:hAnsi="Times New Roman"/>
                <w:color w:val="000000"/>
                <w:spacing w:val="-2"/>
                <w:sz w:val="21"/>
                <w:szCs w:val="21"/>
              </w:rPr>
            </w:pPr>
            <w:r w:rsidRPr="001176EE">
              <w:rPr>
                <w:rFonts w:ascii="Times New Roman" w:hAnsi="Times New Roman"/>
                <w:color w:val="000000"/>
                <w:spacing w:val="-2"/>
                <w:sz w:val="21"/>
                <w:szCs w:val="21"/>
              </w:rPr>
              <w:t>Odbiorcy</w:t>
            </w:r>
            <w:r w:rsidR="004A2235" w:rsidRPr="001176EE">
              <w:rPr>
                <w:rFonts w:ascii="Times New Roman" w:hAnsi="Times New Roman"/>
                <w:color w:val="000000"/>
                <w:spacing w:val="-2"/>
                <w:sz w:val="21"/>
                <w:szCs w:val="21"/>
              </w:rPr>
              <w:t xml:space="preserve"> objęci zostaną </w:t>
            </w:r>
            <w:r w:rsidRPr="001176EE">
              <w:rPr>
                <w:rFonts w:ascii="Times New Roman" w:hAnsi="Times New Roman"/>
                <w:color w:val="000000"/>
                <w:spacing w:val="-2"/>
                <w:sz w:val="21"/>
                <w:szCs w:val="21"/>
              </w:rPr>
              <w:t>ochroną w postaci ceny maksymalnej za energię elektryczną</w:t>
            </w:r>
          </w:p>
        </w:tc>
      </w:tr>
      <w:tr w:rsidR="00B81A51" w:rsidRPr="00E91019" w14:paraId="4B4C1E6E" w14:textId="77777777" w:rsidTr="00A87747">
        <w:trPr>
          <w:gridAfter w:val="1"/>
          <w:wAfter w:w="13" w:type="dxa"/>
          <w:trHeight w:val="142"/>
        </w:trPr>
        <w:tc>
          <w:tcPr>
            <w:tcW w:w="2664" w:type="dxa"/>
            <w:gridSpan w:val="3"/>
            <w:shd w:val="clear" w:color="auto" w:fill="auto"/>
          </w:tcPr>
          <w:p w14:paraId="3249FFF5" w14:textId="34461FD4" w:rsidR="00B81A51" w:rsidRPr="00E91019" w:rsidRDefault="00B81A51" w:rsidP="00180F9D">
            <w:pPr>
              <w:tabs>
                <w:tab w:val="left" w:pos="1560"/>
              </w:tabs>
              <w:spacing w:line="240" w:lineRule="auto"/>
              <w:rPr>
                <w:rFonts w:ascii="Times New Roman" w:hAnsi="Times New Roman"/>
                <w:color w:val="000000"/>
                <w:sz w:val="21"/>
                <w:szCs w:val="21"/>
              </w:rPr>
            </w:pPr>
            <w:r w:rsidRPr="00E91019">
              <w:rPr>
                <w:rFonts w:ascii="Times New Roman" w:hAnsi="Times New Roman"/>
                <w:color w:val="000000"/>
              </w:rPr>
              <w:t>Obywatele w gospodarstwach domowych zakupujących ciepło z sieci oraz korzystający z usług podmiotów użyteczności publicznej zakupujących ciepło z sieci</w:t>
            </w:r>
          </w:p>
        </w:tc>
        <w:tc>
          <w:tcPr>
            <w:tcW w:w="2293" w:type="dxa"/>
            <w:gridSpan w:val="7"/>
            <w:shd w:val="clear" w:color="auto" w:fill="auto"/>
          </w:tcPr>
          <w:p w14:paraId="5BED399C" w14:textId="013FCF20" w:rsidR="00B81A51" w:rsidRPr="00E91019" w:rsidRDefault="00B81A51" w:rsidP="00180F9D">
            <w:pPr>
              <w:spacing w:line="240" w:lineRule="auto"/>
              <w:jc w:val="center"/>
              <w:rPr>
                <w:rFonts w:ascii="Times New Roman" w:hAnsi="Times New Roman"/>
                <w:color w:val="000000"/>
                <w:spacing w:val="-2"/>
                <w:sz w:val="21"/>
                <w:szCs w:val="21"/>
              </w:rPr>
            </w:pPr>
            <w:r w:rsidRPr="00E91019">
              <w:rPr>
                <w:rFonts w:ascii="Times New Roman" w:hAnsi="Times New Roman"/>
                <w:bCs/>
                <w:color w:val="000000"/>
                <w:sz w:val="21"/>
                <w:szCs w:val="21"/>
              </w:rPr>
              <w:t>ok. 15 mln obywateli (5,4 mln gospodarstw domowych)</w:t>
            </w:r>
          </w:p>
        </w:tc>
        <w:tc>
          <w:tcPr>
            <w:tcW w:w="3000" w:type="dxa"/>
            <w:gridSpan w:val="12"/>
            <w:shd w:val="clear" w:color="auto" w:fill="auto"/>
          </w:tcPr>
          <w:p w14:paraId="36C80D2F" w14:textId="07F9C091" w:rsidR="00B81A51" w:rsidRPr="00E91019" w:rsidRDefault="00B81A51" w:rsidP="00180F9D">
            <w:pPr>
              <w:spacing w:line="240" w:lineRule="auto"/>
              <w:rPr>
                <w:rFonts w:ascii="Times New Roman" w:hAnsi="Times New Roman"/>
                <w:color w:val="000000"/>
                <w:spacing w:val="-2"/>
                <w:sz w:val="21"/>
                <w:szCs w:val="21"/>
              </w:rPr>
            </w:pPr>
            <w:r w:rsidRPr="00E91019">
              <w:rPr>
                <w:rFonts w:ascii="Times New Roman" w:hAnsi="Times New Roman"/>
                <w:color w:val="000000"/>
                <w:spacing w:val="-2"/>
              </w:rPr>
              <w:t>Oszacowanie własne na podstawie danych z GUS</w:t>
            </w:r>
          </w:p>
        </w:tc>
        <w:tc>
          <w:tcPr>
            <w:tcW w:w="2980" w:type="dxa"/>
            <w:gridSpan w:val="7"/>
            <w:shd w:val="clear" w:color="auto" w:fill="auto"/>
          </w:tcPr>
          <w:p w14:paraId="135D2829" w14:textId="7BB4C810" w:rsidR="00B81A51" w:rsidRPr="00E91019" w:rsidRDefault="00B81A51" w:rsidP="00180F9D">
            <w:pPr>
              <w:pStyle w:val="Default"/>
              <w:rPr>
                <w:sz w:val="22"/>
                <w:szCs w:val="22"/>
              </w:rPr>
            </w:pPr>
            <w:r w:rsidRPr="00E91019">
              <w:rPr>
                <w:sz w:val="22"/>
                <w:szCs w:val="22"/>
              </w:rPr>
              <w:t>Beneficjenci obniżenia cen ciepła</w:t>
            </w:r>
          </w:p>
          <w:p w14:paraId="33AE930D" w14:textId="77777777" w:rsidR="00B81A51" w:rsidRPr="00E91019" w:rsidRDefault="00B81A51" w:rsidP="00180F9D">
            <w:pPr>
              <w:spacing w:line="240" w:lineRule="auto"/>
              <w:rPr>
                <w:rFonts w:ascii="Times New Roman" w:hAnsi="Times New Roman"/>
                <w:color w:val="000000"/>
                <w:spacing w:val="-2"/>
                <w:sz w:val="21"/>
                <w:szCs w:val="21"/>
              </w:rPr>
            </w:pPr>
          </w:p>
        </w:tc>
      </w:tr>
      <w:tr w:rsidR="001102D7" w:rsidRPr="0066079A" w14:paraId="783EB4D9" w14:textId="77777777" w:rsidTr="00A87747">
        <w:trPr>
          <w:gridAfter w:val="1"/>
          <w:wAfter w:w="13" w:type="dxa"/>
          <w:trHeight w:val="142"/>
        </w:trPr>
        <w:tc>
          <w:tcPr>
            <w:tcW w:w="2664" w:type="dxa"/>
            <w:gridSpan w:val="3"/>
            <w:shd w:val="clear" w:color="auto" w:fill="auto"/>
          </w:tcPr>
          <w:p w14:paraId="6C61482E" w14:textId="77777777" w:rsidR="001102D7" w:rsidRPr="0066079A" w:rsidDel="006E33F5" w:rsidRDefault="001102D7" w:rsidP="00180F9D">
            <w:pPr>
              <w:tabs>
                <w:tab w:val="left" w:pos="1560"/>
              </w:tabs>
              <w:spacing w:line="240" w:lineRule="auto"/>
              <w:rPr>
                <w:rFonts w:ascii="Times New Roman" w:hAnsi="Times New Roman"/>
                <w:color w:val="000000"/>
                <w:sz w:val="21"/>
                <w:szCs w:val="21"/>
              </w:rPr>
            </w:pPr>
            <w:r w:rsidRPr="0066079A">
              <w:rPr>
                <w:rFonts w:ascii="Times New Roman" w:hAnsi="Times New Roman"/>
                <w:color w:val="000000"/>
                <w:sz w:val="21"/>
                <w:szCs w:val="21"/>
              </w:rPr>
              <w:t>Wojewodowie</w:t>
            </w:r>
          </w:p>
        </w:tc>
        <w:tc>
          <w:tcPr>
            <w:tcW w:w="2293" w:type="dxa"/>
            <w:gridSpan w:val="7"/>
            <w:shd w:val="clear" w:color="auto" w:fill="auto"/>
          </w:tcPr>
          <w:p w14:paraId="6B1B0EDC" w14:textId="0C3EA735" w:rsidR="001102D7" w:rsidRPr="0066079A" w:rsidRDefault="001102D7" w:rsidP="00180F9D">
            <w:pPr>
              <w:spacing w:line="240" w:lineRule="auto"/>
              <w:jc w:val="center"/>
              <w:rPr>
                <w:rFonts w:ascii="Times New Roman" w:hAnsi="Times New Roman"/>
                <w:color w:val="000000"/>
                <w:spacing w:val="-2"/>
                <w:sz w:val="21"/>
                <w:szCs w:val="21"/>
              </w:rPr>
            </w:pPr>
            <w:r w:rsidRPr="0066079A">
              <w:rPr>
                <w:rFonts w:ascii="Times New Roman" w:hAnsi="Times New Roman"/>
                <w:sz w:val="21"/>
                <w:szCs w:val="21"/>
              </w:rPr>
              <w:t>16</w:t>
            </w:r>
          </w:p>
        </w:tc>
        <w:tc>
          <w:tcPr>
            <w:tcW w:w="3000" w:type="dxa"/>
            <w:gridSpan w:val="12"/>
            <w:shd w:val="clear" w:color="auto" w:fill="auto"/>
          </w:tcPr>
          <w:p w14:paraId="0815FB65" w14:textId="77777777" w:rsidR="001102D7" w:rsidRPr="0066079A" w:rsidRDefault="001102D7" w:rsidP="00180F9D">
            <w:pPr>
              <w:spacing w:line="240" w:lineRule="auto"/>
              <w:rPr>
                <w:rFonts w:ascii="Times New Roman" w:hAnsi="Times New Roman"/>
                <w:color w:val="000000"/>
                <w:spacing w:val="-2"/>
                <w:sz w:val="21"/>
                <w:szCs w:val="21"/>
              </w:rPr>
            </w:pPr>
            <w:r w:rsidRPr="0066079A">
              <w:rPr>
                <w:rFonts w:ascii="Times New Roman" w:hAnsi="Times New Roman"/>
                <w:sz w:val="21"/>
                <w:szCs w:val="21"/>
              </w:rPr>
              <w:t>Rejestr TERYT – Główny Urząd Statystyczny</w:t>
            </w:r>
          </w:p>
        </w:tc>
        <w:tc>
          <w:tcPr>
            <w:tcW w:w="2980" w:type="dxa"/>
            <w:gridSpan w:val="7"/>
            <w:shd w:val="clear" w:color="auto" w:fill="auto"/>
          </w:tcPr>
          <w:p w14:paraId="4E5A13B4" w14:textId="77777777" w:rsidR="001102D7" w:rsidRPr="0066079A" w:rsidRDefault="001102D7" w:rsidP="00180F9D">
            <w:pPr>
              <w:spacing w:line="240" w:lineRule="auto"/>
              <w:rPr>
                <w:rFonts w:ascii="Times New Roman" w:hAnsi="Times New Roman"/>
                <w:color w:val="000000"/>
                <w:spacing w:val="-2"/>
                <w:sz w:val="21"/>
                <w:szCs w:val="21"/>
              </w:rPr>
            </w:pPr>
            <w:r w:rsidRPr="0066079A">
              <w:rPr>
                <w:rFonts w:ascii="Times New Roman" w:hAnsi="Times New Roman"/>
                <w:color w:val="000000"/>
                <w:spacing w:val="-2"/>
                <w:sz w:val="21"/>
                <w:szCs w:val="21"/>
              </w:rPr>
              <w:t>Zadnia związane w</w:t>
            </w:r>
          </w:p>
          <w:p w14:paraId="70B2BB33" w14:textId="77777777" w:rsidR="001102D7" w:rsidRPr="0066079A" w:rsidRDefault="001102D7" w:rsidP="00180F9D">
            <w:pPr>
              <w:spacing w:line="240" w:lineRule="auto"/>
              <w:rPr>
                <w:rFonts w:ascii="Times New Roman" w:hAnsi="Times New Roman"/>
                <w:color w:val="000000"/>
                <w:spacing w:val="-2"/>
                <w:sz w:val="21"/>
                <w:szCs w:val="21"/>
              </w:rPr>
            </w:pPr>
            <w:r w:rsidRPr="0066079A">
              <w:rPr>
                <w:rFonts w:ascii="Times New Roman" w:hAnsi="Times New Roman"/>
                <w:color w:val="000000"/>
                <w:spacing w:val="-2"/>
                <w:sz w:val="21"/>
                <w:szCs w:val="21"/>
              </w:rPr>
              <w:t>udzielaniem dotacji gminom na</w:t>
            </w:r>
          </w:p>
          <w:p w14:paraId="13C4996D" w14:textId="616C04B9" w:rsidR="001102D7" w:rsidRPr="0066079A" w:rsidRDefault="001102D7" w:rsidP="00180F9D">
            <w:pPr>
              <w:spacing w:line="240" w:lineRule="auto"/>
              <w:rPr>
                <w:rFonts w:ascii="Times New Roman" w:hAnsi="Times New Roman"/>
                <w:color w:val="000000"/>
                <w:spacing w:val="-2"/>
                <w:sz w:val="21"/>
                <w:szCs w:val="21"/>
              </w:rPr>
            </w:pPr>
            <w:r w:rsidRPr="0066079A">
              <w:rPr>
                <w:rFonts w:ascii="Times New Roman" w:hAnsi="Times New Roman"/>
                <w:color w:val="000000"/>
                <w:spacing w:val="-2"/>
                <w:sz w:val="21"/>
                <w:szCs w:val="21"/>
              </w:rPr>
              <w:t>wypłatę bonu energetycznego</w:t>
            </w:r>
          </w:p>
        </w:tc>
      </w:tr>
      <w:tr w:rsidR="001102D7" w:rsidRPr="0066079A" w14:paraId="51C4E07A" w14:textId="77777777" w:rsidTr="00A87747">
        <w:trPr>
          <w:gridAfter w:val="1"/>
          <w:wAfter w:w="13" w:type="dxa"/>
          <w:trHeight w:val="142"/>
        </w:trPr>
        <w:tc>
          <w:tcPr>
            <w:tcW w:w="2664" w:type="dxa"/>
            <w:gridSpan w:val="3"/>
            <w:shd w:val="clear" w:color="auto" w:fill="auto"/>
          </w:tcPr>
          <w:p w14:paraId="18ACE943" w14:textId="77777777" w:rsidR="001102D7" w:rsidRPr="0066079A" w:rsidRDefault="001102D7" w:rsidP="00180F9D">
            <w:pPr>
              <w:tabs>
                <w:tab w:val="left" w:pos="1560"/>
              </w:tabs>
              <w:spacing w:line="240" w:lineRule="auto"/>
              <w:rPr>
                <w:rFonts w:ascii="Times New Roman" w:hAnsi="Times New Roman"/>
                <w:color w:val="000000"/>
                <w:sz w:val="21"/>
                <w:szCs w:val="21"/>
              </w:rPr>
            </w:pPr>
            <w:r w:rsidRPr="0066079A">
              <w:rPr>
                <w:rFonts w:ascii="Times New Roman" w:hAnsi="Times New Roman"/>
                <w:color w:val="000000"/>
                <w:sz w:val="21"/>
                <w:szCs w:val="21"/>
              </w:rPr>
              <w:t>Gminy</w:t>
            </w:r>
          </w:p>
        </w:tc>
        <w:tc>
          <w:tcPr>
            <w:tcW w:w="2293" w:type="dxa"/>
            <w:gridSpan w:val="7"/>
            <w:shd w:val="clear" w:color="auto" w:fill="auto"/>
          </w:tcPr>
          <w:p w14:paraId="3C7D6FB4" w14:textId="5AA1520D" w:rsidR="001102D7" w:rsidRPr="0066079A" w:rsidRDefault="001102D7" w:rsidP="00180F9D">
            <w:pPr>
              <w:spacing w:line="240" w:lineRule="auto"/>
              <w:jc w:val="center"/>
              <w:rPr>
                <w:rFonts w:ascii="Times New Roman" w:hAnsi="Times New Roman"/>
                <w:color w:val="000000"/>
                <w:spacing w:val="-2"/>
                <w:sz w:val="21"/>
                <w:szCs w:val="21"/>
              </w:rPr>
            </w:pPr>
            <w:r w:rsidRPr="0066079A">
              <w:rPr>
                <w:rFonts w:ascii="Times New Roman" w:hAnsi="Times New Roman"/>
                <w:sz w:val="21"/>
                <w:szCs w:val="21"/>
              </w:rPr>
              <w:t>2477</w:t>
            </w:r>
          </w:p>
        </w:tc>
        <w:tc>
          <w:tcPr>
            <w:tcW w:w="3000" w:type="dxa"/>
            <w:gridSpan w:val="12"/>
            <w:shd w:val="clear" w:color="auto" w:fill="auto"/>
          </w:tcPr>
          <w:p w14:paraId="3333275B" w14:textId="77777777" w:rsidR="001102D7" w:rsidRPr="0066079A" w:rsidRDefault="001102D7" w:rsidP="00180F9D">
            <w:pPr>
              <w:spacing w:line="240" w:lineRule="auto"/>
              <w:rPr>
                <w:rFonts w:ascii="Times New Roman" w:hAnsi="Times New Roman"/>
                <w:color w:val="000000"/>
                <w:spacing w:val="-2"/>
                <w:sz w:val="21"/>
                <w:szCs w:val="21"/>
              </w:rPr>
            </w:pPr>
            <w:r w:rsidRPr="0066079A">
              <w:rPr>
                <w:rFonts w:ascii="Times New Roman" w:hAnsi="Times New Roman"/>
                <w:sz w:val="21"/>
                <w:szCs w:val="21"/>
              </w:rPr>
              <w:t>Rejestr TERYT – Główny Urząd Statystyczny</w:t>
            </w:r>
          </w:p>
        </w:tc>
        <w:tc>
          <w:tcPr>
            <w:tcW w:w="2980" w:type="dxa"/>
            <w:gridSpan w:val="7"/>
            <w:shd w:val="clear" w:color="auto" w:fill="auto"/>
          </w:tcPr>
          <w:p w14:paraId="4C79952A" w14:textId="77777777" w:rsidR="001102D7" w:rsidRPr="0066079A" w:rsidRDefault="001102D7" w:rsidP="00180F9D">
            <w:pPr>
              <w:spacing w:line="240" w:lineRule="auto"/>
              <w:rPr>
                <w:rFonts w:ascii="Times New Roman" w:hAnsi="Times New Roman"/>
                <w:color w:val="000000"/>
                <w:spacing w:val="-2"/>
                <w:sz w:val="21"/>
                <w:szCs w:val="21"/>
              </w:rPr>
            </w:pPr>
            <w:r w:rsidRPr="0066079A">
              <w:rPr>
                <w:rFonts w:ascii="Times New Roman" w:hAnsi="Times New Roman"/>
                <w:color w:val="000000"/>
                <w:spacing w:val="-2"/>
                <w:sz w:val="21"/>
                <w:szCs w:val="21"/>
              </w:rPr>
              <w:t>Weryfikacja wniosków,</w:t>
            </w:r>
          </w:p>
          <w:p w14:paraId="6F5C548E" w14:textId="77777777" w:rsidR="001102D7" w:rsidRPr="0066079A" w:rsidRDefault="001102D7" w:rsidP="00180F9D">
            <w:pPr>
              <w:spacing w:line="240" w:lineRule="auto"/>
              <w:rPr>
                <w:rFonts w:ascii="Times New Roman" w:hAnsi="Times New Roman"/>
                <w:color w:val="000000"/>
                <w:spacing w:val="-2"/>
                <w:sz w:val="21"/>
                <w:szCs w:val="21"/>
              </w:rPr>
            </w:pPr>
            <w:r w:rsidRPr="0066079A">
              <w:rPr>
                <w:rFonts w:ascii="Times New Roman" w:hAnsi="Times New Roman"/>
                <w:color w:val="000000"/>
                <w:spacing w:val="-2"/>
                <w:sz w:val="21"/>
                <w:szCs w:val="21"/>
              </w:rPr>
              <w:t>wypłata bonu energetycznego,</w:t>
            </w:r>
          </w:p>
          <w:p w14:paraId="4424C5CB" w14:textId="06D6BED3" w:rsidR="001102D7" w:rsidRPr="0066079A" w:rsidRDefault="001102D7" w:rsidP="00180F9D">
            <w:pPr>
              <w:spacing w:line="240" w:lineRule="auto"/>
              <w:rPr>
                <w:rFonts w:ascii="Times New Roman" w:hAnsi="Times New Roman"/>
                <w:color w:val="000000"/>
                <w:spacing w:val="-2"/>
                <w:sz w:val="21"/>
                <w:szCs w:val="21"/>
              </w:rPr>
            </w:pPr>
            <w:r w:rsidRPr="0066079A">
              <w:rPr>
                <w:rFonts w:ascii="Times New Roman" w:hAnsi="Times New Roman"/>
                <w:color w:val="000000"/>
                <w:spacing w:val="-2"/>
                <w:sz w:val="21"/>
                <w:szCs w:val="21"/>
              </w:rPr>
              <w:t>sprawozdawczość</w:t>
            </w:r>
            <w:r w:rsidR="00687416">
              <w:rPr>
                <w:rFonts w:ascii="Times New Roman" w:hAnsi="Times New Roman"/>
                <w:color w:val="000000"/>
                <w:spacing w:val="-2"/>
                <w:sz w:val="21"/>
                <w:szCs w:val="21"/>
              </w:rPr>
              <w:t>.</w:t>
            </w:r>
          </w:p>
        </w:tc>
      </w:tr>
      <w:tr w:rsidR="00137409" w:rsidRPr="0066079A" w14:paraId="27DF37BA" w14:textId="77777777" w:rsidTr="00A87747">
        <w:trPr>
          <w:gridAfter w:val="1"/>
          <w:wAfter w:w="13" w:type="dxa"/>
          <w:trHeight w:val="142"/>
        </w:trPr>
        <w:tc>
          <w:tcPr>
            <w:tcW w:w="2664" w:type="dxa"/>
            <w:gridSpan w:val="3"/>
            <w:shd w:val="clear" w:color="auto" w:fill="auto"/>
          </w:tcPr>
          <w:p w14:paraId="152CA843" w14:textId="2162355B" w:rsidR="00137409" w:rsidRPr="0066079A" w:rsidRDefault="00137409" w:rsidP="00180F9D">
            <w:pPr>
              <w:tabs>
                <w:tab w:val="left" w:pos="1560"/>
              </w:tabs>
              <w:spacing w:line="240" w:lineRule="auto"/>
              <w:rPr>
                <w:rFonts w:ascii="Times New Roman" w:hAnsi="Times New Roman"/>
                <w:color w:val="000000"/>
                <w:sz w:val="21"/>
                <w:szCs w:val="21"/>
              </w:rPr>
            </w:pPr>
            <w:r w:rsidRPr="003F7306">
              <w:rPr>
                <w:rFonts w:ascii="Times New Roman" w:hAnsi="Times New Roman"/>
                <w:color w:val="000000"/>
              </w:rPr>
              <w:t>Jednostki samorządu terytorialnego</w:t>
            </w:r>
          </w:p>
        </w:tc>
        <w:tc>
          <w:tcPr>
            <w:tcW w:w="2293" w:type="dxa"/>
            <w:gridSpan w:val="7"/>
            <w:shd w:val="clear" w:color="auto" w:fill="auto"/>
          </w:tcPr>
          <w:p w14:paraId="6D3FE01D" w14:textId="7784B770" w:rsidR="00137409" w:rsidRPr="0066079A" w:rsidRDefault="00137409" w:rsidP="00180F9D">
            <w:pPr>
              <w:spacing w:line="240" w:lineRule="auto"/>
              <w:jc w:val="center"/>
              <w:rPr>
                <w:rFonts w:ascii="Times New Roman" w:hAnsi="Times New Roman"/>
                <w:sz w:val="21"/>
                <w:szCs w:val="21"/>
              </w:rPr>
            </w:pPr>
            <w:r>
              <w:rPr>
                <w:rFonts w:ascii="Times New Roman" w:hAnsi="Times New Roman"/>
                <w:color w:val="000000"/>
                <w:spacing w:val="-2"/>
              </w:rPr>
              <w:t>ok. 2</w:t>
            </w:r>
            <w:r w:rsidR="00670844">
              <w:rPr>
                <w:rFonts w:ascii="Times New Roman" w:hAnsi="Times New Roman"/>
                <w:color w:val="000000"/>
                <w:spacing w:val="-2"/>
              </w:rPr>
              <w:t>,</w:t>
            </w:r>
            <w:r>
              <w:rPr>
                <w:rFonts w:ascii="Times New Roman" w:hAnsi="Times New Roman"/>
                <w:color w:val="000000"/>
                <w:spacing w:val="-2"/>
              </w:rPr>
              <w:t>5</w:t>
            </w:r>
            <w:r w:rsidR="00B565B1">
              <w:rPr>
                <w:rFonts w:ascii="Times New Roman" w:hAnsi="Times New Roman"/>
                <w:color w:val="000000"/>
                <w:spacing w:val="-2"/>
              </w:rPr>
              <w:t xml:space="preserve"> tys.</w:t>
            </w:r>
          </w:p>
        </w:tc>
        <w:tc>
          <w:tcPr>
            <w:tcW w:w="3000" w:type="dxa"/>
            <w:gridSpan w:val="12"/>
            <w:shd w:val="clear" w:color="auto" w:fill="auto"/>
          </w:tcPr>
          <w:p w14:paraId="4685A734" w14:textId="1F262F45" w:rsidR="00137409" w:rsidRPr="0066079A" w:rsidRDefault="00137409" w:rsidP="00180F9D">
            <w:pPr>
              <w:spacing w:line="240" w:lineRule="auto"/>
              <w:rPr>
                <w:rFonts w:ascii="Times New Roman" w:hAnsi="Times New Roman"/>
                <w:sz w:val="21"/>
                <w:szCs w:val="21"/>
              </w:rPr>
            </w:pPr>
            <w:r>
              <w:rPr>
                <w:rFonts w:ascii="Times New Roman" w:hAnsi="Times New Roman"/>
                <w:color w:val="000000"/>
                <w:spacing w:val="-2"/>
              </w:rPr>
              <w:t>Informacje statystyczne</w:t>
            </w:r>
          </w:p>
        </w:tc>
        <w:tc>
          <w:tcPr>
            <w:tcW w:w="2980" w:type="dxa"/>
            <w:gridSpan w:val="7"/>
            <w:shd w:val="clear" w:color="auto" w:fill="auto"/>
          </w:tcPr>
          <w:p w14:paraId="106C5AAC" w14:textId="39A96E7A" w:rsidR="00137409" w:rsidRPr="0066079A" w:rsidRDefault="009A3D08" w:rsidP="00180F9D">
            <w:pPr>
              <w:spacing w:line="240" w:lineRule="auto"/>
              <w:rPr>
                <w:rFonts w:ascii="Times New Roman" w:hAnsi="Times New Roman"/>
                <w:color w:val="000000"/>
                <w:spacing w:val="-2"/>
                <w:sz w:val="21"/>
                <w:szCs w:val="21"/>
              </w:rPr>
            </w:pPr>
            <w:r>
              <w:rPr>
                <w:rFonts w:ascii="Times New Roman" w:hAnsi="Times New Roman"/>
                <w:color w:val="000000"/>
              </w:rPr>
              <w:t>JST</w:t>
            </w:r>
            <w:r w:rsidR="00137409">
              <w:rPr>
                <w:rFonts w:ascii="Times New Roman" w:hAnsi="Times New Roman"/>
                <w:color w:val="000000"/>
                <w:spacing w:val="-2"/>
              </w:rPr>
              <w:t xml:space="preserve"> zostaną objęte ochroną przed nadmiernymi podwyżkami cen energii elektrycznej</w:t>
            </w:r>
            <w:r>
              <w:rPr>
                <w:rFonts w:ascii="Times New Roman" w:hAnsi="Times New Roman"/>
                <w:color w:val="000000"/>
                <w:spacing w:val="-2"/>
              </w:rPr>
              <w:t>.</w:t>
            </w:r>
          </w:p>
        </w:tc>
      </w:tr>
      <w:tr w:rsidR="00137409" w:rsidRPr="0066079A" w14:paraId="55444D71" w14:textId="77777777" w:rsidTr="00A87747">
        <w:trPr>
          <w:gridAfter w:val="1"/>
          <w:wAfter w:w="13" w:type="dxa"/>
          <w:trHeight w:val="142"/>
        </w:trPr>
        <w:tc>
          <w:tcPr>
            <w:tcW w:w="2664" w:type="dxa"/>
            <w:gridSpan w:val="3"/>
            <w:shd w:val="clear" w:color="auto" w:fill="auto"/>
          </w:tcPr>
          <w:p w14:paraId="70C3C591" w14:textId="77777777" w:rsidR="00137409" w:rsidRPr="00066FC1" w:rsidRDefault="00137409" w:rsidP="00180F9D">
            <w:pPr>
              <w:spacing w:line="240" w:lineRule="auto"/>
              <w:rPr>
                <w:rFonts w:ascii="Times New Roman" w:hAnsi="Times New Roman"/>
                <w:color w:val="000000"/>
                <w:spacing w:val="-2"/>
                <w:sz w:val="21"/>
                <w:szCs w:val="21"/>
              </w:rPr>
            </w:pPr>
            <w:r w:rsidRPr="00066FC1">
              <w:rPr>
                <w:rFonts w:ascii="Times New Roman" w:hAnsi="Times New Roman"/>
                <w:color w:val="000000"/>
                <w:spacing w:val="-2"/>
                <w:sz w:val="21"/>
                <w:szCs w:val="21"/>
              </w:rPr>
              <w:t>Odbiorcy gazu ziemnego w gospodarstwach domowych</w:t>
            </w:r>
          </w:p>
          <w:p w14:paraId="5A8456A0" w14:textId="77777777" w:rsidR="00137409" w:rsidRPr="00066FC1" w:rsidRDefault="00137409" w:rsidP="00180F9D">
            <w:pPr>
              <w:tabs>
                <w:tab w:val="left" w:pos="1560"/>
              </w:tabs>
              <w:spacing w:line="240" w:lineRule="auto"/>
              <w:rPr>
                <w:rFonts w:ascii="Times New Roman" w:hAnsi="Times New Roman"/>
                <w:color w:val="000000"/>
                <w:spacing w:val="-2"/>
                <w:sz w:val="21"/>
                <w:szCs w:val="21"/>
              </w:rPr>
            </w:pPr>
          </w:p>
        </w:tc>
        <w:tc>
          <w:tcPr>
            <w:tcW w:w="2293" w:type="dxa"/>
            <w:gridSpan w:val="7"/>
            <w:shd w:val="clear" w:color="auto" w:fill="auto"/>
          </w:tcPr>
          <w:p w14:paraId="4B4EA761" w14:textId="3E45C2BA" w:rsidR="00137409" w:rsidRPr="00066FC1" w:rsidRDefault="00137409" w:rsidP="00180F9D">
            <w:pPr>
              <w:spacing w:line="240" w:lineRule="auto"/>
              <w:jc w:val="center"/>
              <w:rPr>
                <w:rFonts w:ascii="Times New Roman" w:hAnsi="Times New Roman"/>
                <w:color w:val="000000"/>
                <w:spacing w:val="-2"/>
                <w:sz w:val="21"/>
                <w:szCs w:val="21"/>
              </w:rPr>
            </w:pPr>
            <w:r w:rsidRPr="00066FC1">
              <w:rPr>
                <w:rFonts w:ascii="Times New Roman" w:hAnsi="Times New Roman"/>
                <w:color w:val="000000"/>
                <w:spacing w:val="-2"/>
                <w:sz w:val="21"/>
                <w:szCs w:val="21"/>
              </w:rPr>
              <w:t>ok. 7,4 mln</w:t>
            </w:r>
          </w:p>
          <w:p w14:paraId="21FC17E3" w14:textId="77777777" w:rsidR="00137409" w:rsidRPr="00066FC1" w:rsidRDefault="00137409" w:rsidP="00180F9D">
            <w:pPr>
              <w:spacing w:line="240" w:lineRule="auto"/>
              <w:jc w:val="center"/>
              <w:rPr>
                <w:rFonts w:ascii="Times New Roman" w:hAnsi="Times New Roman"/>
                <w:color w:val="000000"/>
                <w:spacing w:val="-2"/>
                <w:sz w:val="21"/>
                <w:szCs w:val="21"/>
              </w:rPr>
            </w:pPr>
          </w:p>
        </w:tc>
        <w:tc>
          <w:tcPr>
            <w:tcW w:w="3000" w:type="dxa"/>
            <w:gridSpan w:val="12"/>
            <w:shd w:val="clear" w:color="auto" w:fill="auto"/>
          </w:tcPr>
          <w:p w14:paraId="5F2D182F" w14:textId="267FBEC7" w:rsidR="00137409" w:rsidRPr="00066FC1" w:rsidRDefault="00137409" w:rsidP="00180F9D">
            <w:pPr>
              <w:spacing w:line="240" w:lineRule="auto"/>
              <w:rPr>
                <w:rFonts w:ascii="Times New Roman" w:hAnsi="Times New Roman"/>
                <w:color w:val="000000"/>
                <w:spacing w:val="-2"/>
                <w:sz w:val="21"/>
                <w:szCs w:val="21"/>
              </w:rPr>
            </w:pPr>
            <w:r w:rsidRPr="00066FC1">
              <w:rPr>
                <w:rFonts w:ascii="Times New Roman" w:hAnsi="Times New Roman"/>
                <w:color w:val="000000"/>
                <w:spacing w:val="-2"/>
                <w:sz w:val="21"/>
                <w:szCs w:val="21"/>
              </w:rPr>
              <w:t>Badania statystyczne Ministra Klimatu i Środowiska</w:t>
            </w:r>
          </w:p>
        </w:tc>
        <w:tc>
          <w:tcPr>
            <w:tcW w:w="2980" w:type="dxa"/>
            <w:gridSpan w:val="7"/>
            <w:shd w:val="clear" w:color="auto" w:fill="auto"/>
          </w:tcPr>
          <w:p w14:paraId="26DD6DE2" w14:textId="77777777" w:rsidR="00137409" w:rsidRPr="00066FC1" w:rsidRDefault="00137409" w:rsidP="00180F9D">
            <w:pPr>
              <w:spacing w:line="240" w:lineRule="auto"/>
              <w:rPr>
                <w:rFonts w:ascii="Times New Roman" w:hAnsi="Times New Roman"/>
                <w:color w:val="000000"/>
                <w:spacing w:val="-2"/>
                <w:sz w:val="21"/>
                <w:szCs w:val="21"/>
              </w:rPr>
            </w:pPr>
            <w:r w:rsidRPr="00066FC1">
              <w:rPr>
                <w:rFonts w:ascii="Times New Roman" w:hAnsi="Times New Roman"/>
                <w:color w:val="000000"/>
                <w:spacing w:val="-2"/>
                <w:sz w:val="21"/>
                <w:szCs w:val="21"/>
              </w:rPr>
              <w:t>Beneficjenci projektowanych mechanizmów ochronnych</w:t>
            </w:r>
          </w:p>
          <w:p w14:paraId="6005B02B" w14:textId="77777777" w:rsidR="00137409" w:rsidRPr="0066079A" w:rsidRDefault="00137409" w:rsidP="00180F9D">
            <w:pPr>
              <w:spacing w:line="240" w:lineRule="auto"/>
              <w:rPr>
                <w:rFonts w:ascii="Times New Roman" w:hAnsi="Times New Roman"/>
                <w:color w:val="000000"/>
                <w:spacing w:val="-2"/>
                <w:sz w:val="21"/>
                <w:szCs w:val="21"/>
              </w:rPr>
            </w:pPr>
          </w:p>
        </w:tc>
      </w:tr>
      <w:tr w:rsidR="00137409" w:rsidRPr="0066079A" w14:paraId="787D232C" w14:textId="77777777" w:rsidTr="00A87747">
        <w:trPr>
          <w:gridAfter w:val="1"/>
          <w:wAfter w:w="13" w:type="dxa"/>
          <w:trHeight w:val="142"/>
        </w:trPr>
        <w:tc>
          <w:tcPr>
            <w:tcW w:w="2664" w:type="dxa"/>
            <w:gridSpan w:val="3"/>
            <w:shd w:val="clear" w:color="auto" w:fill="auto"/>
          </w:tcPr>
          <w:p w14:paraId="3DE089EE" w14:textId="77777777" w:rsidR="00137409" w:rsidRPr="00066FC1" w:rsidRDefault="00137409" w:rsidP="00180F9D">
            <w:pPr>
              <w:spacing w:line="240" w:lineRule="auto"/>
              <w:rPr>
                <w:rFonts w:ascii="Times New Roman" w:hAnsi="Times New Roman"/>
                <w:color w:val="000000"/>
                <w:sz w:val="21"/>
                <w:szCs w:val="21"/>
              </w:rPr>
            </w:pPr>
            <w:r w:rsidRPr="00066FC1">
              <w:rPr>
                <w:rFonts w:ascii="Times New Roman" w:hAnsi="Times New Roman"/>
                <w:color w:val="000000"/>
                <w:sz w:val="21"/>
                <w:szCs w:val="21"/>
              </w:rPr>
              <w:t xml:space="preserve">Odbiorcy gazu ziemnego w spółdzielniach i wspólnotach mieszkaniowych </w:t>
            </w:r>
          </w:p>
          <w:p w14:paraId="6A18422E" w14:textId="77777777" w:rsidR="00137409" w:rsidRPr="00066FC1" w:rsidRDefault="00137409" w:rsidP="00180F9D">
            <w:pPr>
              <w:spacing w:line="240" w:lineRule="auto"/>
              <w:rPr>
                <w:rFonts w:ascii="Times New Roman" w:hAnsi="Times New Roman"/>
                <w:color w:val="000000"/>
                <w:sz w:val="21"/>
                <w:szCs w:val="21"/>
              </w:rPr>
            </w:pPr>
          </w:p>
          <w:p w14:paraId="61CFAE3E" w14:textId="77777777" w:rsidR="00137409" w:rsidRPr="00066FC1" w:rsidRDefault="00137409" w:rsidP="00180F9D">
            <w:pPr>
              <w:spacing w:line="240" w:lineRule="auto"/>
              <w:rPr>
                <w:rFonts w:ascii="Times New Roman" w:hAnsi="Times New Roman"/>
                <w:color w:val="000000"/>
                <w:spacing w:val="-2"/>
                <w:sz w:val="21"/>
                <w:szCs w:val="21"/>
              </w:rPr>
            </w:pPr>
          </w:p>
        </w:tc>
        <w:tc>
          <w:tcPr>
            <w:tcW w:w="2293" w:type="dxa"/>
            <w:gridSpan w:val="7"/>
            <w:shd w:val="clear" w:color="auto" w:fill="auto"/>
          </w:tcPr>
          <w:p w14:paraId="775C708A" w14:textId="3FAFCCEE" w:rsidR="00137409" w:rsidRPr="00066FC1" w:rsidRDefault="00137409" w:rsidP="00180F9D">
            <w:pPr>
              <w:spacing w:line="240" w:lineRule="auto"/>
              <w:jc w:val="center"/>
              <w:rPr>
                <w:rFonts w:ascii="Times New Roman" w:hAnsi="Times New Roman"/>
                <w:color w:val="000000"/>
                <w:spacing w:val="-2"/>
                <w:sz w:val="21"/>
                <w:szCs w:val="21"/>
              </w:rPr>
            </w:pPr>
            <w:r w:rsidRPr="00066FC1">
              <w:rPr>
                <w:rFonts w:ascii="Times New Roman" w:hAnsi="Times New Roman"/>
                <w:color w:val="000000"/>
                <w:spacing w:val="-2"/>
                <w:sz w:val="21"/>
                <w:szCs w:val="21"/>
              </w:rPr>
              <w:t xml:space="preserve">ok. 50 tysięcy spółdzielni i wspólnot mieszkaniowych </w:t>
            </w:r>
          </w:p>
        </w:tc>
        <w:tc>
          <w:tcPr>
            <w:tcW w:w="3000" w:type="dxa"/>
            <w:gridSpan w:val="12"/>
            <w:shd w:val="clear" w:color="auto" w:fill="auto"/>
          </w:tcPr>
          <w:p w14:paraId="30564D2E" w14:textId="5655A7B8" w:rsidR="00137409" w:rsidRPr="00066FC1" w:rsidRDefault="00137409" w:rsidP="00180F9D">
            <w:pPr>
              <w:spacing w:line="240" w:lineRule="auto"/>
              <w:rPr>
                <w:rFonts w:ascii="Times New Roman" w:hAnsi="Times New Roman"/>
                <w:color w:val="000000"/>
                <w:spacing w:val="-2"/>
                <w:sz w:val="21"/>
                <w:szCs w:val="21"/>
              </w:rPr>
            </w:pPr>
            <w:r w:rsidRPr="00066FC1">
              <w:rPr>
                <w:rFonts w:ascii="Times New Roman" w:hAnsi="Times New Roman"/>
                <w:color w:val="000000"/>
                <w:spacing w:val="-2"/>
                <w:sz w:val="21"/>
                <w:szCs w:val="21"/>
              </w:rPr>
              <w:t>Badania statystyczne Ministra Klimatu i Środowiska</w:t>
            </w:r>
          </w:p>
        </w:tc>
        <w:tc>
          <w:tcPr>
            <w:tcW w:w="2980" w:type="dxa"/>
            <w:gridSpan w:val="7"/>
            <w:shd w:val="clear" w:color="auto" w:fill="auto"/>
          </w:tcPr>
          <w:p w14:paraId="2F100ED8" w14:textId="77777777" w:rsidR="00137409" w:rsidRPr="00066FC1" w:rsidRDefault="00137409" w:rsidP="00180F9D">
            <w:pPr>
              <w:spacing w:line="240" w:lineRule="auto"/>
              <w:rPr>
                <w:rFonts w:ascii="Times New Roman" w:hAnsi="Times New Roman"/>
                <w:color w:val="000000"/>
                <w:sz w:val="21"/>
                <w:szCs w:val="21"/>
              </w:rPr>
            </w:pPr>
            <w:r w:rsidRPr="00066FC1">
              <w:rPr>
                <w:rFonts w:ascii="Times New Roman" w:hAnsi="Times New Roman"/>
                <w:color w:val="000000"/>
                <w:sz w:val="21"/>
                <w:szCs w:val="21"/>
              </w:rPr>
              <w:t>Beneficjenci projektowanych mechanizmów ochronnych</w:t>
            </w:r>
          </w:p>
          <w:p w14:paraId="79DB98AD" w14:textId="77777777" w:rsidR="00137409" w:rsidRPr="00066FC1" w:rsidRDefault="00137409" w:rsidP="00180F9D">
            <w:pPr>
              <w:spacing w:line="240" w:lineRule="auto"/>
              <w:rPr>
                <w:rFonts w:ascii="Times New Roman" w:hAnsi="Times New Roman"/>
                <w:color w:val="000000"/>
                <w:spacing w:val="-2"/>
                <w:sz w:val="21"/>
                <w:szCs w:val="21"/>
              </w:rPr>
            </w:pPr>
          </w:p>
        </w:tc>
      </w:tr>
      <w:tr w:rsidR="00137409" w:rsidRPr="0066079A" w14:paraId="0CCE0EAD" w14:textId="77777777" w:rsidTr="00A87747">
        <w:trPr>
          <w:gridAfter w:val="1"/>
          <w:wAfter w:w="13" w:type="dxa"/>
          <w:trHeight w:val="142"/>
        </w:trPr>
        <w:tc>
          <w:tcPr>
            <w:tcW w:w="2664" w:type="dxa"/>
            <w:gridSpan w:val="3"/>
            <w:shd w:val="clear" w:color="auto" w:fill="auto"/>
          </w:tcPr>
          <w:p w14:paraId="6D0F892D" w14:textId="77777777" w:rsidR="00137409" w:rsidRPr="00066FC1" w:rsidRDefault="00137409" w:rsidP="00180F9D">
            <w:pPr>
              <w:spacing w:line="240" w:lineRule="auto"/>
              <w:rPr>
                <w:rFonts w:ascii="Times New Roman" w:hAnsi="Times New Roman"/>
                <w:color w:val="000000"/>
                <w:sz w:val="21"/>
                <w:szCs w:val="21"/>
              </w:rPr>
            </w:pPr>
            <w:r w:rsidRPr="00066FC1">
              <w:rPr>
                <w:rFonts w:ascii="Times New Roman" w:hAnsi="Times New Roman"/>
                <w:color w:val="000000"/>
                <w:sz w:val="21"/>
                <w:szCs w:val="21"/>
              </w:rPr>
              <w:lastRenderedPageBreak/>
              <w:t xml:space="preserve">Podmioty świadczące usługi użyteczności publicznej wymienione w art. 62b ust. 1 pkt 2 lit. d ustawy – Prawo energetyczne </w:t>
            </w:r>
          </w:p>
          <w:p w14:paraId="2F398636" w14:textId="16163582" w:rsidR="00137409" w:rsidRPr="00066FC1" w:rsidRDefault="00137409" w:rsidP="00180F9D">
            <w:pPr>
              <w:tabs>
                <w:tab w:val="left" w:pos="1560"/>
              </w:tabs>
              <w:spacing w:line="240" w:lineRule="auto"/>
              <w:rPr>
                <w:rFonts w:ascii="Times New Roman" w:hAnsi="Times New Roman"/>
                <w:sz w:val="21"/>
                <w:szCs w:val="21"/>
              </w:rPr>
            </w:pPr>
          </w:p>
        </w:tc>
        <w:tc>
          <w:tcPr>
            <w:tcW w:w="2293" w:type="dxa"/>
            <w:gridSpan w:val="7"/>
            <w:shd w:val="clear" w:color="auto" w:fill="auto"/>
          </w:tcPr>
          <w:p w14:paraId="4CDEA48D" w14:textId="38E81772" w:rsidR="00137409" w:rsidRPr="00066FC1" w:rsidRDefault="00137409" w:rsidP="00180F9D">
            <w:pPr>
              <w:spacing w:line="240" w:lineRule="auto"/>
              <w:jc w:val="center"/>
              <w:rPr>
                <w:rFonts w:ascii="Times New Roman" w:hAnsi="Times New Roman"/>
                <w:sz w:val="21"/>
                <w:szCs w:val="21"/>
              </w:rPr>
            </w:pPr>
            <w:r w:rsidRPr="00066FC1">
              <w:rPr>
                <w:rFonts w:ascii="Times New Roman" w:hAnsi="Times New Roman"/>
                <w:color w:val="000000"/>
                <w:spacing w:val="-2"/>
                <w:sz w:val="21"/>
                <w:szCs w:val="21"/>
              </w:rPr>
              <w:t xml:space="preserve"> </w:t>
            </w:r>
            <w:r>
              <w:rPr>
                <w:rFonts w:ascii="Times New Roman" w:hAnsi="Times New Roman"/>
                <w:color w:val="000000"/>
                <w:spacing w:val="-2"/>
                <w:sz w:val="21"/>
                <w:szCs w:val="21"/>
              </w:rPr>
              <w:t>o</w:t>
            </w:r>
            <w:r w:rsidRPr="00066FC1">
              <w:rPr>
                <w:rFonts w:ascii="Times New Roman" w:hAnsi="Times New Roman"/>
                <w:color w:val="000000"/>
                <w:spacing w:val="-2"/>
                <w:sz w:val="21"/>
                <w:szCs w:val="21"/>
              </w:rPr>
              <w:t xml:space="preserve">k. 25 tysięcy </w:t>
            </w:r>
          </w:p>
        </w:tc>
        <w:tc>
          <w:tcPr>
            <w:tcW w:w="3000" w:type="dxa"/>
            <w:gridSpan w:val="12"/>
            <w:shd w:val="clear" w:color="auto" w:fill="auto"/>
          </w:tcPr>
          <w:p w14:paraId="3A8AC9E4" w14:textId="77777777" w:rsidR="00137409" w:rsidRPr="00066FC1" w:rsidRDefault="00137409" w:rsidP="00180F9D">
            <w:pPr>
              <w:spacing w:line="240" w:lineRule="auto"/>
              <w:rPr>
                <w:rFonts w:ascii="Times New Roman" w:hAnsi="Times New Roman"/>
                <w:color w:val="000000"/>
                <w:spacing w:val="-2"/>
                <w:sz w:val="21"/>
                <w:szCs w:val="21"/>
              </w:rPr>
            </w:pPr>
            <w:r w:rsidRPr="00066FC1">
              <w:rPr>
                <w:rFonts w:ascii="Times New Roman" w:hAnsi="Times New Roman"/>
                <w:color w:val="000000"/>
                <w:spacing w:val="-2"/>
                <w:sz w:val="21"/>
                <w:szCs w:val="21"/>
              </w:rPr>
              <w:t>Szacunki własne na podstawie danych z Głównego Urzędu Statystycznego</w:t>
            </w:r>
          </w:p>
          <w:p w14:paraId="79700B3D" w14:textId="77777777" w:rsidR="00137409" w:rsidRPr="00066FC1" w:rsidRDefault="00137409" w:rsidP="00180F9D">
            <w:pPr>
              <w:spacing w:line="240" w:lineRule="auto"/>
              <w:rPr>
                <w:rFonts w:ascii="Times New Roman" w:hAnsi="Times New Roman"/>
                <w:color w:val="000000"/>
                <w:spacing w:val="-2"/>
                <w:sz w:val="21"/>
                <w:szCs w:val="21"/>
              </w:rPr>
            </w:pPr>
          </w:p>
          <w:p w14:paraId="145B9462" w14:textId="697B4ECC" w:rsidR="00137409" w:rsidRPr="00066FC1" w:rsidRDefault="00137409" w:rsidP="00180F9D">
            <w:pPr>
              <w:spacing w:line="240" w:lineRule="auto"/>
              <w:rPr>
                <w:rFonts w:ascii="Times New Roman" w:hAnsi="Times New Roman"/>
                <w:sz w:val="21"/>
                <w:szCs w:val="21"/>
              </w:rPr>
            </w:pPr>
          </w:p>
        </w:tc>
        <w:tc>
          <w:tcPr>
            <w:tcW w:w="2980" w:type="dxa"/>
            <w:gridSpan w:val="7"/>
            <w:shd w:val="clear" w:color="auto" w:fill="auto"/>
          </w:tcPr>
          <w:p w14:paraId="7F4B12E9" w14:textId="77777777" w:rsidR="00137409" w:rsidRPr="00066FC1" w:rsidRDefault="00137409" w:rsidP="00180F9D">
            <w:pPr>
              <w:spacing w:line="240" w:lineRule="auto"/>
              <w:rPr>
                <w:rFonts w:ascii="Times New Roman" w:hAnsi="Times New Roman"/>
                <w:color w:val="000000"/>
                <w:sz w:val="21"/>
                <w:szCs w:val="21"/>
              </w:rPr>
            </w:pPr>
            <w:r w:rsidRPr="00066FC1">
              <w:rPr>
                <w:rFonts w:ascii="Times New Roman" w:hAnsi="Times New Roman"/>
                <w:color w:val="000000"/>
                <w:sz w:val="21"/>
                <w:szCs w:val="21"/>
              </w:rPr>
              <w:t>Beneficjenci projektowanych mechanizmów ochronnych</w:t>
            </w:r>
          </w:p>
          <w:p w14:paraId="7E217811" w14:textId="77777777" w:rsidR="00137409" w:rsidRPr="00066FC1" w:rsidRDefault="00137409" w:rsidP="00180F9D">
            <w:pPr>
              <w:spacing w:line="240" w:lineRule="auto"/>
              <w:jc w:val="both"/>
              <w:rPr>
                <w:rFonts w:ascii="Times New Roman" w:hAnsi="Times New Roman"/>
                <w:color w:val="000000"/>
                <w:sz w:val="21"/>
                <w:szCs w:val="21"/>
              </w:rPr>
            </w:pPr>
          </w:p>
          <w:p w14:paraId="65081517" w14:textId="77777777" w:rsidR="00137409" w:rsidRPr="00066FC1" w:rsidRDefault="00137409" w:rsidP="00180F9D">
            <w:pPr>
              <w:spacing w:line="240" w:lineRule="auto"/>
              <w:jc w:val="both"/>
              <w:rPr>
                <w:rFonts w:ascii="Times New Roman" w:hAnsi="Times New Roman"/>
                <w:color w:val="000000"/>
                <w:sz w:val="21"/>
                <w:szCs w:val="21"/>
              </w:rPr>
            </w:pPr>
          </w:p>
          <w:p w14:paraId="1858414E" w14:textId="5A6C1413" w:rsidR="00137409" w:rsidRPr="00066FC1" w:rsidRDefault="00137409" w:rsidP="00180F9D">
            <w:pPr>
              <w:spacing w:line="240" w:lineRule="auto"/>
              <w:rPr>
                <w:rFonts w:ascii="Times New Roman" w:hAnsi="Times New Roman"/>
                <w:spacing w:val="-2"/>
                <w:sz w:val="21"/>
                <w:szCs w:val="21"/>
              </w:rPr>
            </w:pPr>
          </w:p>
        </w:tc>
      </w:tr>
      <w:tr w:rsidR="00137409" w:rsidRPr="0066079A" w14:paraId="7AADDD24" w14:textId="77777777" w:rsidTr="00A87747">
        <w:trPr>
          <w:gridAfter w:val="1"/>
          <w:wAfter w:w="13" w:type="dxa"/>
          <w:trHeight w:val="142"/>
        </w:trPr>
        <w:tc>
          <w:tcPr>
            <w:tcW w:w="2664" w:type="dxa"/>
            <w:gridSpan w:val="3"/>
            <w:shd w:val="clear" w:color="auto" w:fill="auto"/>
          </w:tcPr>
          <w:p w14:paraId="5801B2FD" w14:textId="4DDAAB02" w:rsidR="00137409" w:rsidRPr="0066079A" w:rsidRDefault="00137409" w:rsidP="00180F9D">
            <w:pPr>
              <w:tabs>
                <w:tab w:val="left" w:pos="1560"/>
              </w:tabs>
              <w:spacing w:line="240" w:lineRule="auto"/>
              <w:rPr>
                <w:rFonts w:ascii="Times New Roman" w:hAnsi="Times New Roman"/>
                <w:sz w:val="21"/>
                <w:szCs w:val="21"/>
              </w:rPr>
            </w:pPr>
            <w:r w:rsidRPr="0066079A">
              <w:rPr>
                <w:rFonts w:ascii="Times New Roman" w:hAnsi="Times New Roman"/>
                <w:sz w:val="21"/>
                <w:szCs w:val="21"/>
              </w:rPr>
              <w:t>Prezes Urzędu Regulacji Energetyki</w:t>
            </w:r>
          </w:p>
        </w:tc>
        <w:tc>
          <w:tcPr>
            <w:tcW w:w="2293" w:type="dxa"/>
            <w:gridSpan w:val="7"/>
            <w:shd w:val="clear" w:color="auto" w:fill="auto"/>
          </w:tcPr>
          <w:p w14:paraId="543C7863" w14:textId="58DF37C7" w:rsidR="00137409" w:rsidRPr="0066079A" w:rsidRDefault="00137409" w:rsidP="00180F9D">
            <w:pPr>
              <w:spacing w:line="240" w:lineRule="auto"/>
              <w:jc w:val="center"/>
              <w:rPr>
                <w:rFonts w:ascii="Times New Roman" w:hAnsi="Times New Roman"/>
                <w:sz w:val="21"/>
                <w:szCs w:val="21"/>
              </w:rPr>
            </w:pPr>
            <w:r w:rsidRPr="0066079A">
              <w:rPr>
                <w:rFonts w:ascii="Times New Roman" w:hAnsi="Times New Roman"/>
                <w:sz w:val="21"/>
                <w:szCs w:val="21"/>
              </w:rPr>
              <w:t>1</w:t>
            </w:r>
          </w:p>
        </w:tc>
        <w:tc>
          <w:tcPr>
            <w:tcW w:w="3000" w:type="dxa"/>
            <w:gridSpan w:val="12"/>
            <w:shd w:val="clear" w:color="auto" w:fill="auto"/>
          </w:tcPr>
          <w:p w14:paraId="2EE35E0F" w14:textId="066BB526" w:rsidR="00137409" w:rsidRPr="0066079A" w:rsidRDefault="00137409" w:rsidP="00180F9D">
            <w:pPr>
              <w:spacing w:line="240" w:lineRule="auto"/>
              <w:rPr>
                <w:rFonts w:ascii="Times New Roman" w:hAnsi="Times New Roman"/>
                <w:sz w:val="21"/>
                <w:szCs w:val="21"/>
              </w:rPr>
            </w:pPr>
            <w:r w:rsidRPr="0066079A">
              <w:rPr>
                <w:rFonts w:ascii="Times New Roman" w:hAnsi="Times New Roman"/>
                <w:sz w:val="21"/>
                <w:szCs w:val="21"/>
              </w:rPr>
              <w:t>Ustawa z dnia 10 kwietnia 1997 r. – Prawo energetyczne</w:t>
            </w:r>
          </w:p>
        </w:tc>
        <w:tc>
          <w:tcPr>
            <w:tcW w:w="2980" w:type="dxa"/>
            <w:gridSpan w:val="7"/>
            <w:shd w:val="clear" w:color="auto" w:fill="auto"/>
          </w:tcPr>
          <w:p w14:paraId="639C3519" w14:textId="244F4C1B" w:rsidR="00137409" w:rsidRPr="0066079A" w:rsidRDefault="00137409" w:rsidP="00180F9D">
            <w:pPr>
              <w:spacing w:line="240" w:lineRule="auto"/>
              <w:rPr>
                <w:rFonts w:ascii="Times New Roman" w:hAnsi="Times New Roman"/>
                <w:spacing w:val="-2"/>
                <w:sz w:val="21"/>
                <w:szCs w:val="21"/>
              </w:rPr>
            </w:pPr>
            <w:r w:rsidRPr="0066079A">
              <w:rPr>
                <w:rFonts w:ascii="Times New Roman" w:hAnsi="Times New Roman"/>
                <w:sz w:val="21"/>
                <w:szCs w:val="21"/>
              </w:rPr>
              <w:t>Doprecyzowanie przepisów w zakresie kontroli przez PURE podmiotów objętych obowiązkiem odpisu na Fundusz</w:t>
            </w:r>
          </w:p>
        </w:tc>
      </w:tr>
      <w:tr w:rsidR="00137409" w:rsidRPr="0066079A" w14:paraId="51854332" w14:textId="77777777" w:rsidTr="00A87747">
        <w:trPr>
          <w:gridAfter w:val="1"/>
          <w:wAfter w:w="13" w:type="dxa"/>
          <w:trHeight w:val="142"/>
        </w:trPr>
        <w:tc>
          <w:tcPr>
            <w:tcW w:w="2664" w:type="dxa"/>
            <w:gridSpan w:val="3"/>
            <w:shd w:val="clear" w:color="auto" w:fill="auto"/>
          </w:tcPr>
          <w:p w14:paraId="234D8FE8" w14:textId="448C3A20" w:rsidR="00137409" w:rsidRPr="0066079A" w:rsidRDefault="00137409" w:rsidP="00180F9D">
            <w:pPr>
              <w:tabs>
                <w:tab w:val="left" w:pos="1560"/>
              </w:tabs>
              <w:spacing w:line="240" w:lineRule="auto"/>
              <w:rPr>
                <w:rFonts w:ascii="Times New Roman" w:hAnsi="Times New Roman"/>
                <w:sz w:val="21"/>
                <w:szCs w:val="21"/>
              </w:rPr>
            </w:pPr>
            <w:r w:rsidRPr="0066079A">
              <w:rPr>
                <w:rFonts w:ascii="Times New Roman" w:hAnsi="Times New Roman"/>
                <w:sz w:val="21"/>
                <w:szCs w:val="21"/>
              </w:rPr>
              <w:t>Przedsiębiorstwa energetyczne posiadające koncesję na obrót energią elektryczną lub posiadające koncesję na dystrybucję energii elektrycznej</w:t>
            </w:r>
          </w:p>
        </w:tc>
        <w:tc>
          <w:tcPr>
            <w:tcW w:w="2293" w:type="dxa"/>
            <w:gridSpan w:val="7"/>
            <w:shd w:val="clear" w:color="auto" w:fill="auto"/>
          </w:tcPr>
          <w:p w14:paraId="71967758" w14:textId="3AD8326D" w:rsidR="00137409" w:rsidRPr="0066079A" w:rsidRDefault="00137409" w:rsidP="00180F9D">
            <w:pPr>
              <w:spacing w:line="240" w:lineRule="auto"/>
              <w:jc w:val="center"/>
              <w:rPr>
                <w:rFonts w:ascii="Times New Roman" w:hAnsi="Times New Roman"/>
                <w:sz w:val="21"/>
                <w:szCs w:val="21"/>
              </w:rPr>
            </w:pPr>
            <w:r>
              <w:rPr>
                <w:rFonts w:ascii="Times New Roman" w:hAnsi="Times New Roman"/>
                <w:sz w:val="21"/>
                <w:szCs w:val="21"/>
              </w:rPr>
              <w:t>o</w:t>
            </w:r>
            <w:r w:rsidRPr="0066079A">
              <w:rPr>
                <w:rFonts w:ascii="Times New Roman" w:hAnsi="Times New Roman"/>
                <w:sz w:val="21"/>
                <w:szCs w:val="21"/>
              </w:rPr>
              <w:t>k. 600 (ok. 400 -obrót; ok. 200 - dystrybucja)</w:t>
            </w:r>
          </w:p>
        </w:tc>
        <w:tc>
          <w:tcPr>
            <w:tcW w:w="3000" w:type="dxa"/>
            <w:gridSpan w:val="12"/>
            <w:shd w:val="clear" w:color="auto" w:fill="auto"/>
          </w:tcPr>
          <w:p w14:paraId="346D506C" w14:textId="2B33C176" w:rsidR="00137409" w:rsidRPr="0066079A" w:rsidRDefault="00137409" w:rsidP="00180F9D">
            <w:pPr>
              <w:spacing w:line="240" w:lineRule="auto"/>
              <w:rPr>
                <w:rFonts w:ascii="Times New Roman" w:hAnsi="Times New Roman"/>
                <w:sz w:val="21"/>
                <w:szCs w:val="21"/>
              </w:rPr>
            </w:pPr>
            <w:r w:rsidRPr="0066079A">
              <w:rPr>
                <w:rFonts w:ascii="Times New Roman" w:hAnsi="Times New Roman"/>
                <w:sz w:val="21"/>
                <w:szCs w:val="21"/>
              </w:rPr>
              <w:t>Rejestr Urzędu Regulacji Energetyki</w:t>
            </w:r>
          </w:p>
        </w:tc>
        <w:tc>
          <w:tcPr>
            <w:tcW w:w="2980" w:type="dxa"/>
            <w:gridSpan w:val="7"/>
            <w:shd w:val="clear" w:color="auto" w:fill="auto"/>
          </w:tcPr>
          <w:p w14:paraId="60B316F9" w14:textId="32639D76" w:rsidR="00137409" w:rsidRPr="0066079A" w:rsidRDefault="00137409" w:rsidP="00180F9D">
            <w:pPr>
              <w:spacing w:line="240" w:lineRule="auto"/>
              <w:rPr>
                <w:rFonts w:ascii="Times New Roman" w:hAnsi="Times New Roman"/>
                <w:spacing w:val="-2"/>
                <w:sz w:val="21"/>
                <w:szCs w:val="21"/>
              </w:rPr>
            </w:pPr>
            <w:r w:rsidRPr="0066079A">
              <w:rPr>
                <w:rFonts w:ascii="Times New Roman" w:hAnsi="Times New Roman"/>
                <w:sz w:val="21"/>
                <w:szCs w:val="21"/>
              </w:rPr>
              <w:t>Usprawnienie procesu składania wniosków o rekompensatę oraz wniosków o rozliczenie rekompensaty.</w:t>
            </w:r>
          </w:p>
        </w:tc>
      </w:tr>
      <w:tr w:rsidR="00137409" w:rsidRPr="0066079A" w14:paraId="39AFACFC" w14:textId="77777777" w:rsidTr="00A87747">
        <w:trPr>
          <w:gridAfter w:val="1"/>
          <w:wAfter w:w="13" w:type="dxa"/>
          <w:trHeight w:val="142"/>
        </w:trPr>
        <w:tc>
          <w:tcPr>
            <w:tcW w:w="2664" w:type="dxa"/>
            <w:gridSpan w:val="3"/>
            <w:shd w:val="clear" w:color="auto" w:fill="auto"/>
          </w:tcPr>
          <w:p w14:paraId="7999721F" w14:textId="3F8D1A14" w:rsidR="00137409" w:rsidRPr="0066079A" w:rsidRDefault="00137409" w:rsidP="00180F9D">
            <w:pPr>
              <w:tabs>
                <w:tab w:val="left" w:pos="1560"/>
              </w:tabs>
              <w:spacing w:line="240" w:lineRule="auto"/>
              <w:rPr>
                <w:rFonts w:ascii="Times New Roman" w:hAnsi="Times New Roman"/>
                <w:sz w:val="21"/>
                <w:szCs w:val="21"/>
              </w:rPr>
            </w:pPr>
            <w:r w:rsidRPr="0066079A">
              <w:rPr>
                <w:rFonts w:ascii="Times New Roman" w:hAnsi="Times New Roman"/>
                <w:sz w:val="21"/>
                <w:szCs w:val="21"/>
              </w:rPr>
              <w:t>Przedsiębiorstwa posiadające koncesje na obrót paliwami gazowymi lub posiadające koncesje na dystrybucję paliw gazowych</w:t>
            </w:r>
          </w:p>
        </w:tc>
        <w:tc>
          <w:tcPr>
            <w:tcW w:w="2293" w:type="dxa"/>
            <w:gridSpan w:val="7"/>
            <w:shd w:val="clear" w:color="auto" w:fill="auto"/>
          </w:tcPr>
          <w:p w14:paraId="0EBC06B3" w14:textId="13135A6A" w:rsidR="00137409" w:rsidRPr="0066079A" w:rsidRDefault="00137409" w:rsidP="00180F9D">
            <w:pPr>
              <w:spacing w:line="240" w:lineRule="auto"/>
              <w:jc w:val="center"/>
              <w:rPr>
                <w:rFonts w:ascii="Times New Roman" w:hAnsi="Times New Roman"/>
                <w:sz w:val="21"/>
                <w:szCs w:val="21"/>
              </w:rPr>
            </w:pPr>
            <w:r>
              <w:rPr>
                <w:rFonts w:ascii="Times New Roman" w:hAnsi="Times New Roman"/>
                <w:sz w:val="21"/>
                <w:szCs w:val="21"/>
              </w:rPr>
              <w:t>o</w:t>
            </w:r>
            <w:r w:rsidRPr="0066079A">
              <w:rPr>
                <w:rFonts w:ascii="Times New Roman" w:hAnsi="Times New Roman"/>
                <w:sz w:val="21"/>
                <w:szCs w:val="21"/>
              </w:rPr>
              <w:t>k. 210 (ok. 180 - obrót; ok. 30 – dystrybucja)</w:t>
            </w:r>
          </w:p>
        </w:tc>
        <w:tc>
          <w:tcPr>
            <w:tcW w:w="3000" w:type="dxa"/>
            <w:gridSpan w:val="12"/>
            <w:shd w:val="clear" w:color="auto" w:fill="auto"/>
          </w:tcPr>
          <w:p w14:paraId="5E59C92F" w14:textId="442C03A6" w:rsidR="00137409" w:rsidRPr="0066079A" w:rsidRDefault="00137409" w:rsidP="00180F9D">
            <w:pPr>
              <w:spacing w:line="240" w:lineRule="auto"/>
              <w:rPr>
                <w:rFonts w:ascii="Times New Roman" w:hAnsi="Times New Roman"/>
                <w:sz w:val="21"/>
                <w:szCs w:val="21"/>
              </w:rPr>
            </w:pPr>
            <w:r w:rsidRPr="0066079A">
              <w:rPr>
                <w:rFonts w:ascii="Times New Roman" w:hAnsi="Times New Roman"/>
                <w:spacing w:val="-2"/>
                <w:sz w:val="21"/>
                <w:szCs w:val="21"/>
              </w:rPr>
              <w:t>Rejestr Urzędu Regulacji Energetyki</w:t>
            </w:r>
          </w:p>
        </w:tc>
        <w:tc>
          <w:tcPr>
            <w:tcW w:w="2980" w:type="dxa"/>
            <w:gridSpan w:val="7"/>
            <w:shd w:val="clear" w:color="auto" w:fill="auto"/>
          </w:tcPr>
          <w:p w14:paraId="3587E6D8" w14:textId="3BAB5D22" w:rsidR="00137409" w:rsidRPr="0066079A" w:rsidRDefault="00137409" w:rsidP="00180F9D">
            <w:pPr>
              <w:spacing w:line="240" w:lineRule="auto"/>
              <w:rPr>
                <w:rFonts w:ascii="Times New Roman" w:hAnsi="Times New Roman"/>
                <w:sz w:val="21"/>
                <w:szCs w:val="21"/>
              </w:rPr>
            </w:pPr>
            <w:r w:rsidRPr="0066079A">
              <w:rPr>
                <w:rFonts w:ascii="Times New Roman" w:hAnsi="Times New Roman"/>
                <w:spacing w:val="-2"/>
                <w:sz w:val="21"/>
                <w:szCs w:val="21"/>
              </w:rPr>
              <w:t>Usprawnienie procesu składania wniosków o rekompensatę oraz wniosków o rozliczenie rekompensaty.</w:t>
            </w:r>
          </w:p>
        </w:tc>
      </w:tr>
      <w:tr w:rsidR="00137409" w14:paraId="08811A3B" w14:textId="77777777" w:rsidTr="00A87747">
        <w:trPr>
          <w:trHeight w:val="142"/>
        </w:trPr>
        <w:tc>
          <w:tcPr>
            <w:tcW w:w="2664" w:type="dxa"/>
            <w:gridSpan w:val="3"/>
            <w:tcBorders>
              <w:top w:val="single" w:sz="4" w:space="0" w:color="auto"/>
              <w:left w:val="single" w:sz="4" w:space="0" w:color="auto"/>
              <w:bottom w:val="single" w:sz="4" w:space="0" w:color="auto"/>
              <w:right w:val="single" w:sz="4" w:space="0" w:color="auto"/>
            </w:tcBorders>
            <w:hideMark/>
          </w:tcPr>
          <w:p w14:paraId="1D7C7373" w14:textId="77777777" w:rsidR="00137409" w:rsidRDefault="00137409" w:rsidP="00180F9D">
            <w:pPr>
              <w:spacing w:line="240" w:lineRule="auto"/>
              <w:rPr>
                <w:rFonts w:ascii="Times New Roman" w:hAnsi="Times New Roman"/>
                <w:color w:val="000000"/>
                <w:spacing w:val="-2"/>
              </w:rPr>
            </w:pPr>
            <w:r>
              <w:rPr>
                <w:rFonts w:ascii="Times New Roman" w:hAnsi="Times New Roman"/>
                <w:color w:val="000000"/>
              </w:rPr>
              <w:t>Przedsiębiorstwa energetyczne wykonujące działalność gospodarczą w zakresie wytwarzania ciepła, które jest dostarczane do gospodarstw domowych oraz podmiotów użyteczności publicznej</w:t>
            </w:r>
          </w:p>
        </w:tc>
        <w:tc>
          <w:tcPr>
            <w:tcW w:w="2293" w:type="dxa"/>
            <w:gridSpan w:val="7"/>
            <w:tcBorders>
              <w:top w:val="single" w:sz="4" w:space="0" w:color="auto"/>
              <w:left w:val="single" w:sz="4" w:space="0" w:color="auto"/>
              <w:bottom w:val="single" w:sz="4" w:space="0" w:color="auto"/>
              <w:right w:val="single" w:sz="4" w:space="0" w:color="auto"/>
            </w:tcBorders>
            <w:hideMark/>
          </w:tcPr>
          <w:p w14:paraId="4A65CAB5" w14:textId="68804DAD" w:rsidR="00137409" w:rsidRDefault="00137409" w:rsidP="00180F9D">
            <w:pPr>
              <w:spacing w:line="240" w:lineRule="auto"/>
              <w:jc w:val="center"/>
              <w:rPr>
                <w:rFonts w:ascii="Times New Roman" w:hAnsi="Times New Roman"/>
                <w:color w:val="000000"/>
                <w:spacing w:val="-2"/>
              </w:rPr>
            </w:pPr>
            <w:r>
              <w:rPr>
                <w:rFonts w:ascii="Times New Roman" w:hAnsi="Times New Roman"/>
                <w:color w:val="000000"/>
                <w:spacing w:val="-2"/>
              </w:rPr>
              <w:t>ok. 1 100 przedsiębiorstw</w:t>
            </w:r>
          </w:p>
        </w:tc>
        <w:tc>
          <w:tcPr>
            <w:tcW w:w="3000" w:type="dxa"/>
            <w:gridSpan w:val="12"/>
            <w:tcBorders>
              <w:top w:val="single" w:sz="4" w:space="0" w:color="auto"/>
              <w:left w:val="single" w:sz="4" w:space="0" w:color="auto"/>
              <w:bottom w:val="single" w:sz="4" w:space="0" w:color="auto"/>
              <w:right w:val="single" w:sz="4" w:space="0" w:color="auto"/>
            </w:tcBorders>
            <w:hideMark/>
          </w:tcPr>
          <w:p w14:paraId="3E1E69FB" w14:textId="77777777" w:rsidR="00137409" w:rsidRDefault="00137409" w:rsidP="00180F9D">
            <w:pPr>
              <w:spacing w:line="240" w:lineRule="auto"/>
              <w:rPr>
                <w:rFonts w:ascii="Times New Roman" w:hAnsi="Times New Roman"/>
                <w:color w:val="000000"/>
                <w:spacing w:val="-2"/>
              </w:rPr>
            </w:pPr>
            <w:r>
              <w:rPr>
                <w:rFonts w:ascii="Times New Roman" w:hAnsi="Times New Roman"/>
                <w:color w:val="000000"/>
                <w:spacing w:val="-2"/>
              </w:rPr>
              <w:t>Oszacowanie własne na podstawie danych Urzędu Regulacji Energetyki oraz danych własnych</w:t>
            </w:r>
          </w:p>
        </w:tc>
        <w:tc>
          <w:tcPr>
            <w:tcW w:w="2993" w:type="dxa"/>
            <w:gridSpan w:val="8"/>
            <w:tcBorders>
              <w:top w:val="single" w:sz="4" w:space="0" w:color="auto"/>
              <w:left w:val="single" w:sz="4" w:space="0" w:color="auto"/>
              <w:bottom w:val="single" w:sz="4" w:space="0" w:color="auto"/>
              <w:right w:val="single" w:sz="4" w:space="0" w:color="auto"/>
            </w:tcBorders>
            <w:hideMark/>
          </w:tcPr>
          <w:p w14:paraId="2FD48F10" w14:textId="77777777" w:rsidR="00137409" w:rsidRDefault="00137409" w:rsidP="00180F9D">
            <w:pPr>
              <w:spacing w:line="240" w:lineRule="auto"/>
              <w:rPr>
                <w:rFonts w:ascii="Times New Roman" w:hAnsi="Times New Roman"/>
                <w:color w:val="000000"/>
                <w:spacing w:val="-2"/>
              </w:rPr>
            </w:pPr>
            <w:r>
              <w:rPr>
                <w:rFonts w:ascii="Times New Roman" w:hAnsi="Times New Roman"/>
                <w:color w:val="000000"/>
                <w:spacing w:val="-2"/>
              </w:rPr>
              <w:t>Podmioty, które mogą ubiegać się o wypłatę wyrównania</w:t>
            </w:r>
          </w:p>
        </w:tc>
      </w:tr>
      <w:tr w:rsidR="00137409" w14:paraId="0D3C9F61" w14:textId="77777777" w:rsidTr="00A87747">
        <w:trPr>
          <w:trHeight w:val="142"/>
        </w:trPr>
        <w:tc>
          <w:tcPr>
            <w:tcW w:w="2664" w:type="dxa"/>
            <w:gridSpan w:val="3"/>
            <w:tcBorders>
              <w:top w:val="single" w:sz="4" w:space="0" w:color="auto"/>
              <w:left w:val="single" w:sz="4" w:space="0" w:color="auto"/>
              <w:bottom w:val="single" w:sz="4" w:space="0" w:color="auto"/>
              <w:right w:val="single" w:sz="4" w:space="0" w:color="auto"/>
            </w:tcBorders>
          </w:tcPr>
          <w:p w14:paraId="6607585D" w14:textId="1CF2C9C8" w:rsidR="00137409" w:rsidRDefault="00137409" w:rsidP="00180F9D">
            <w:pPr>
              <w:spacing w:line="240" w:lineRule="auto"/>
              <w:rPr>
                <w:rFonts w:ascii="Times New Roman" w:hAnsi="Times New Roman"/>
                <w:color w:val="000000"/>
              </w:rPr>
            </w:pPr>
            <w:r>
              <w:rPr>
                <w:rFonts w:ascii="Times New Roman" w:hAnsi="Times New Roman"/>
                <w:color w:val="000000"/>
              </w:rPr>
              <w:t>M</w:t>
            </w:r>
            <w:r w:rsidRPr="0009267A">
              <w:rPr>
                <w:rFonts w:ascii="Times New Roman" w:hAnsi="Times New Roman"/>
                <w:color w:val="000000"/>
              </w:rPr>
              <w:t>inister właściwy do spraw zabezpieczenia społecznego</w:t>
            </w:r>
          </w:p>
        </w:tc>
        <w:tc>
          <w:tcPr>
            <w:tcW w:w="2293" w:type="dxa"/>
            <w:gridSpan w:val="7"/>
            <w:tcBorders>
              <w:top w:val="single" w:sz="4" w:space="0" w:color="auto"/>
              <w:left w:val="single" w:sz="4" w:space="0" w:color="auto"/>
              <w:bottom w:val="single" w:sz="4" w:space="0" w:color="auto"/>
              <w:right w:val="single" w:sz="4" w:space="0" w:color="auto"/>
            </w:tcBorders>
          </w:tcPr>
          <w:p w14:paraId="42D5E37E" w14:textId="3F3923F9" w:rsidR="00137409" w:rsidDel="002901AF" w:rsidRDefault="00137409" w:rsidP="00180F9D">
            <w:pPr>
              <w:spacing w:line="240" w:lineRule="auto"/>
              <w:jc w:val="center"/>
              <w:rPr>
                <w:rFonts w:ascii="Times New Roman" w:hAnsi="Times New Roman"/>
                <w:color w:val="000000"/>
                <w:spacing w:val="-2"/>
              </w:rPr>
            </w:pPr>
            <w:r>
              <w:rPr>
                <w:rFonts w:ascii="Times New Roman" w:hAnsi="Times New Roman"/>
                <w:color w:val="000000"/>
                <w:spacing w:val="-2"/>
              </w:rPr>
              <w:t>1</w:t>
            </w:r>
          </w:p>
        </w:tc>
        <w:tc>
          <w:tcPr>
            <w:tcW w:w="3000" w:type="dxa"/>
            <w:gridSpan w:val="12"/>
            <w:tcBorders>
              <w:top w:val="single" w:sz="4" w:space="0" w:color="auto"/>
              <w:left w:val="single" w:sz="4" w:space="0" w:color="auto"/>
              <w:bottom w:val="single" w:sz="4" w:space="0" w:color="auto"/>
              <w:right w:val="single" w:sz="4" w:space="0" w:color="auto"/>
            </w:tcBorders>
          </w:tcPr>
          <w:p w14:paraId="264E4C2B" w14:textId="77777777" w:rsidR="00137409" w:rsidRPr="000228C5" w:rsidRDefault="00137409" w:rsidP="00180F9D">
            <w:pPr>
              <w:spacing w:line="240" w:lineRule="auto"/>
              <w:rPr>
                <w:rFonts w:ascii="Times New Roman" w:hAnsi="Times New Roman"/>
                <w:color w:val="000000"/>
                <w:spacing w:val="-2"/>
              </w:rPr>
            </w:pPr>
            <w:r>
              <w:rPr>
                <w:rFonts w:ascii="Times New Roman" w:hAnsi="Times New Roman"/>
                <w:color w:val="000000"/>
                <w:spacing w:val="-2"/>
              </w:rPr>
              <w:t>u</w:t>
            </w:r>
            <w:r w:rsidRPr="0009267A">
              <w:rPr>
                <w:rFonts w:ascii="Times New Roman" w:hAnsi="Times New Roman"/>
                <w:color w:val="000000"/>
                <w:spacing w:val="-2"/>
              </w:rPr>
              <w:t>stawa z dnia 4 września 1997</w:t>
            </w:r>
            <w:r>
              <w:rPr>
                <w:rFonts w:ascii="Times New Roman" w:hAnsi="Times New Roman"/>
                <w:color w:val="000000"/>
                <w:spacing w:val="-2"/>
              </w:rPr>
              <w:t> </w:t>
            </w:r>
            <w:r w:rsidRPr="0009267A">
              <w:rPr>
                <w:rFonts w:ascii="Times New Roman" w:hAnsi="Times New Roman"/>
                <w:color w:val="000000"/>
                <w:spacing w:val="-2"/>
              </w:rPr>
              <w:t>r.</w:t>
            </w:r>
            <w:r>
              <w:rPr>
                <w:rFonts w:ascii="Times New Roman" w:hAnsi="Times New Roman"/>
                <w:color w:val="000000"/>
                <w:spacing w:val="-2"/>
              </w:rPr>
              <w:t xml:space="preserve"> </w:t>
            </w:r>
            <w:r w:rsidRPr="0009267A">
              <w:rPr>
                <w:rFonts w:ascii="Times New Roman" w:hAnsi="Times New Roman"/>
                <w:color w:val="000000"/>
                <w:spacing w:val="-2"/>
              </w:rPr>
              <w:t>o działach administracji rządowej</w:t>
            </w:r>
            <w:r>
              <w:rPr>
                <w:rFonts w:ascii="Times New Roman" w:hAnsi="Times New Roman"/>
                <w:color w:val="000000"/>
                <w:spacing w:val="-2"/>
              </w:rPr>
              <w:t xml:space="preserve"> (</w:t>
            </w:r>
            <w:r w:rsidRPr="000228C5">
              <w:rPr>
                <w:rFonts w:ascii="Times New Roman" w:hAnsi="Times New Roman"/>
                <w:color w:val="000000"/>
                <w:spacing w:val="-2"/>
              </w:rPr>
              <w:t>Dz. U. z 2022 r.</w:t>
            </w:r>
          </w:p>
          <w:p w14:paraId="41B32FA6" w14:textId="63FD1051" w:rsidR="00137409" w:rsidRPr="0009267A" w:rsidRDefault="00137409" w:rsidP="00180F9D">
            <w:pPr>
              <w:spacing w:line="240" w:lineRule="auto"/>
              <w:rPr>
                <w:rFonts w:ascii="Times New Roman" w:hAnsi="Times New Roman"/>
                <w:color w:val="000000"/>
                <w:spacing w:val="-2"/>
              </w:rPr>
            </w:pPr>
            <w:r w:rsidRPr="000228C5">
              <w:rPr>
                <w:rFonts w:ascii="Times New Roman" w:hAnsi="Times New Roman"/>
                <w:color w:val="000000"/>
                <w:spacing w:val="-2"/>
              </w:rPr>
              <w:t>poz. 2512 z</w:t>
            </w:r>
            <w:r>
              <w:rPr>
                <w:rFonts w:ascii="Times New Roman" w:hAnsi="Times New Roman"/>
                <w:color w:val="000000"/>
                <w:spacing w:val="-2"/>
              </w:rPr>
              <w:t xml:space="preserve"> </w:t>
            </w:r>
            <w:proofErr w:type="spellStart"/>
            <w:r>
              <w:rPr>
                <w:rFonts w:ascii="Times New Roman" w:hAnsi="Times New Roman"/>
                <w:color w:val="000000"/>
                <w:spacing w:val="-2"/>
              </w:rPr>
              <w:t>późn</w:t>
            </w:r>
            <w:proofErr w:type="spellEnd"/>
            <w:r>
              <w:rPr>
                <w:rFonts w:ascii="Times New Roman" w:hAnsi="Times New Roman"/>
                <w:color w:val="000000"/>
                <w:spacing w:val="-2"/>
              </w:rPr>
              <w:t>. zm.)</w:t>
            </w:r>
          </w:p>
          <w:p w14:paraId="22852E58" w14:textId="22C631D4" w:rsidR="00137409" w:rsidRDefault="00137409" w:rsidP="00180F9D">
            <w:pPr>
              <w:spacing w:line="240" w:lineRule="auto"/>
              <w:rPr>
                <w:rFonts w:ascii="Times New Roman" w:hAnsi="Times New Roman"/>
                <w:color w:val="000000"/>
                <w:spacing w:val="-2"/>
              </w:rPr>
            </w:pPr>
          </w:p>
        </w:tc>
        <w:tc>
          <w:tcPr>
            <w:tcW w:w="2993" w:type="dxa"/>
            <w:gridSpan w:val="8"/>
            <w:tcBorders>
              <w:top w:val="single" w:sz="4" w:space="0" w:color="auto"/>
              <w:left w:val="single" w:sz="4" w:space="0" w:color="auto"/>
              <w:bottom w:val="single" w:sz="4" w:space="0" w:color="auto"/>
              <w:right w:val="single" w:sz="4" w:space="0" w:color="auto"/>
            </w:tcBorders>
          </w:tcPr>
          <w:p w14:paraId="6A4FAA14" w14:textId="05171F5F" w:rsidR="00137409" w:rsidRDefault="00137409" w:rsidP="00180F9D">
            <w:pPr>
              <w:spacing w:line="240" w:lineRule="auto"/>
              <w:rPr>
                <w:rFonts w:ascii="Times New Roman" w:hAnsi="Times New Roman"/>
                <w:color w:val="000000"/>
                <w:spacing w:val="-2"/>
              </w:rPr>
            </w:pPr>
            <w:r w:rsidRPr="0009267A">
              <w:rPr>
                <w:rFonts w:ascii="Times New Roman" w:hAnsi="Times New Roman"/>
                <w:color w:val="000000"/>
                <w:spacing w:val="-2"/>
              </w:rPr>
              <w:t>dostosowanie systemu teleinformatycznego</w:t>
            </w:r>
            <w:r>
              <w:rPr>
                <w:rFonts w:ascii="Times New Roman" w:hAnsi="Times New Roman"/>
                <w:color w:val="000000"/>
                <w:spacing w:val="-2"/>
              </w:rPr>
              <w:t xml:space="preserve"> </w:t>
            </w:r>
            <w:r w:rsidRPr="000228C5">
              <w:rPr>
                <w:rFonts w:ascii="Times New Roman" w:hAnsi="Times New Roman"/>
                <w:color w:val="000000"/>
                <w:spacing w:val="-2"/>
              </w:rPr>
              <w:t>na potrzeby składania i rozpatrywania wniosków o wypłatę bonu energetycznego</w:t>
            </w:r>
          </w:p>
        </w:tc>
      </w:tr>
      <w:tr w:rsidR="00137409" w14:paraId="36C79E7B" w14:textId="77777777" w:rsidTr="00A87747">
        <w:trPr>
          <w:trHeight w:val="142"/>
        </w:trPr>
        <w:tc>
          <w:tcPr>
            <w:tcW w:w="2664" w:type="dxa"/>
            <w:gridSpan w:val="3"/>
            <w:tcBorders>
              <w:top w:val="single" w:sz="4" w:space="0" w:color="auto"/>
              <w:left w:val="single" w:sz="4" w:space="0" w:color="auto"/>
              <w:bottom w:val="single" w:sz="4" w:space="0" w:color="auto"/>
              <w:right w:val="single" w:sz="4" w:space="0" w:color="auto"/>
            </w:tcBorders>
          </w:tcPr>
          <w:p w14:paraId="65FFAA8E" w14:textId="41BA1905" w:rsidR="00137409" w:rsidRPr="0009267A" w:rsidRDefault="00137409" w:rsidP="00180F9D">
            <w:pPr>
              <w:spacing w:line="240" w:lineRule="auto"/>
              <w:rPr>
                <w:rFonts w:ascii="Times New Roman" w:hAnsi="Times New Roman"/>
                <w:color w:val="000000"/>
              </w:rPr>
            </w:pPr>
            <w:r>
              <w:rPr>
                <w:rFonts w:ascii="Times New Roman" w:hAnsi="Times New Roman"/>
                <w:color w:val="000000"/>
              </w:rPr>
              <w:t>M</w:t>
            </w:r>
            <w:r w:rsidRPr="0009267A">
              <w:rPr>
                <w:rFonts w:ascii="Times New Roman" w:hAnsi="Times New Roman"/>
                <w:color w:val="000000"/>
              </w:rPr>
              <w:t>inister właściwy do spraw finansów publicznych</w:t>
            </w:r>
          </w:p>
        </w:tc>
        <w:tc>
          <w:tcPr>
            <w:tcW w:w="2293" w:type="dxa"/>
            <w:gridSpan w:val="7"/>
            <w:tcBorders>
              <w:top w:val="single" w:sz="4" w:space="0" w:color="auto"/>
              <w:left w:val="single" w:sz="4" w:space="0" w:color="auto"/>
              <w:bottom w:val="single" w:sz="4" w:space="0" w:color="auto"/>
              <w:right w:val="single" w:sz="4" w:space="0" w:color="auto"/>
            </w:tcBorders>
          </w:tcPr>
          <w:p w14:paraId="1C3EECF2" w14:textId="47C66C69" w:rsidR="00137409" w:rsidDel="002901AF" w:rsidRDefault="00137409" w:rsidP="00180F9D">
            <w:pPr>
              <w:spacing w:line="240" w:lineRule="auto"/>
              <w:jc w:val="center"/>
              <w:rPr>
                <w:rFonts w:ascii="Times New Roman" w:hAnsi="Times New Roman"/>
                <w:color w:val="000000"/>
                <w:spacing w:val="-2"/>
              </w:rPr>
            </w:pPr>
            <w:r>
              <w:rPr>
                <w:rFonts w:ascii="Times New Roman" w:hAnsi="Times New Roman"/>
                <w:color w:val="000000"/>
                <w:spacing w:val="-2"/>
              </w:rPr>
              <w:t>1</w:t>
            </w:r>
          </w:p>
        </w:tc>
        <w:tc>
          <w:tcPr>
            <w:tcW w:w="3000" w:type="dxa"/>
            <w:gridSpan w:val="12"/>
            <w:tcBorders>
              <w:top w:val="single" w:sz="4" w:space="0" w:color="auto"/>
              <w:left w:val="single" w:sz="4" w:space="0" w:color="auto"/>
              <w:bottom w:val="single" w:sz="4" w:space="0" w:color="auto"/>
              <w:right w:val="single" w:sz="4" w:space="0" w:color="auto"/>
            </w:tcBorders>
          </w:tcPr>
          <w:p w14:paraId="7B011C2F" w14:textId="77777777" w:rsidR="00137409" w:rsidRPr="000228C5" w:rsidRDefault="00137409" w:rsidP="00180F9D">
            <w:pPr>
              <w:spacing w:line="240" w:lineRule="auto"/>
              <w:rPr>
                <w:rFonts w:ascii="Times New Roman" w:hAnsi="Times New Roman"/>
                <w:color w:val="000000"/>
                <w:spacing w:val="-2"/>
              </w:rPr>
            </w:pPr>
            <w:r>
              <w:rPr>
                <w:rFonts w:ascii="Times New Roman" w:hAnsi="Times New Roman"/>
                <w:color w:val="000000"/>
                <w:spacing w:val="-2"/>
              </w:rPr>
              <w:t>u</w:t>
            </w:r>
            <w:r w:rsidRPr="0009267A">
              <w:rPr>
                <w:rFonts w:ascii="Times New Roman" w:hAnsi="Times New Roman"/>
                <w:color w:val="000000"/>
                <w:spacing w:val="-2"/>
              </w:rPr>
              <w:t>stawa z dnia 4 września 1997</w:t>
            </w:r>
            <w:r>
              <w:rPr>
                <w:rFonts w:ascii="Times New Roman" w:hAnsi="Times New Roman"/>
                <w:color w:val="000000"/>
                <w:spacing w:val="-2"/>
              </w:rPr>
              <w:t> </w:t>
            </w:r>
            <w:r w:rsidRPr="0009267A">
              <w:rPr>
                <w:rFonts w:ascii="Times New Roman" w:hAnsi="Times New Roman"/>
                <w:color w:val="000000"/>
                <w:spacing w:val="-2"/>
              </w:rPr>
              <w:t>r.</w:t>
            </w:r>
            <w:r>
              <w:rPr>
                <w:rFonts w:ascii="Times New Roman" w:hAnsi="Times New Roman"/>
                <w:color w:val="000000"/>
                <w:spacing w:val="-2"/>
              </w:rPr>
              <w:t xml:space="preserve"> </w:t>
            </w:r>
            <w:r w:rsidRPr="0009267A">
              <w:rPr>
                <w:rFonts w:ascii="Times New Roman" w:hAnsi="Times New Roman"/>
                <w:color w:val="000000"/>
                <w:spacing w:val="-2"/>
              </w:rPr>
              <w:t>o działach administracji rządowej</w:t>
            </w:r>
            <w:r>
              <w:rPr>
                <w:rFonts w:ascii="Times New Roman" w:hAnsi="Times New Roman"/>
                <w:color w:val="000000"/>
                <w:spacing w:val="-2"/>
              </w:rPr>
              <w:t xml:space="preserve"> (</w:t>
            </w:r>
            <w:r w:rsidRPr="000228C5">
              <w:rPr>
                <w:rFonts w:ascii="Times New Roman" w:hAnsi="Times New Roman"/>
                <w:color w:val="000000"/>
                <w:spacing w:val="-2"/>
              </w:rPr>
              <w:t>Dz. U. z 2022 r.</w:t>
            </w:r>
          </w:p>
          <w:p w14:paraId="74A33DDE" w14:textId="77777777" w:rsidR="00137409" w:rsidRPr="0009267A" w:rsidRDefault="00137409" w:rsidP="00180F9D">
            <w:pPr>
              <w:spacing w:line="240" w:lineRule="auto"/>
              <w:rPr>
                <w:rFonts w:ascii="Times New Roman" w:hAnsi="Times New Roman"/>
                <w:color w:val="000000"/>
                <w:spacing w:val="-2"/>
              </w:rPr>
            </w:pPr>
            <w:r w:rsidRPr="000228C5">
              <w:rPr>
                <w:rFonts w:ascii="Times New Roman" w:hAnsi="Times New Roman"/>
                <w:color w:val="000000"/>
                <w:spacing w:val="-2"/>
              </w:rPr>
              <w:t>poz. 2512 z</w:t>
            </w:r>
            <w:r>
              <w:rPr>
                <w:rFonts w:ascii="Times New Roman" w:hAnsi="Times New Roman"/>
                <w:color w:val="000000"/>
                <w:spacing w:val="-2"/>
              </w:rPr>
              <w:t xml:space="preserve"> </w:t>
            </w:r>
            <w:proofErr w:type="spellStart"/>
            <w:r>
              <w:rPr>
                <w:rFonts w:ascii="Times New Roman" w:hAnsi="Times New Roman"/>
                <w:color w:val="000000"/>
                <w:spacing w:val="-2"/>
              </w:rPr>
              <w:t>późn</w:t>
            </w:r>
            <w:proofErr w:type="spellEnd"/>
            <w:r>
              <w:rPr>
                <w:rFonts w:ascii="Times New Roman" w:hAnsi="Times New Roman"/>
                <w:color w:val="000000"/>
                <w:spacing w:val="-2"/>
              </w:rPr>
              <w:t>. zm.)</w:t>
            </w:r>
          </w:p>
          <w:p w14:paraId="3514ADD9" w14:textId="77777777" w:rsidR="00137409" w:rsidRDefault="00137409" w:rsidP="00180F9D">
            <w:pPr>
              <w:spacing w:line="240" w:lineRule="auto"/>
              <w:rPr>
                <w:rFonts w:ascii="Times New Roman" w:hAnsi="Times New Roman"/>
                <w:color w:val="000000"/>
                <w:spacing w:val="-2"/>
              </w:rPr>
            </w:pPr>
          </w:p>
        </w:tc>
        <w:tc>
          <w:tcPr>
            <w:tcW w:w="2993" w:type="dxa"/>
            <w:gridSpan w:val="8"/>
            <w:tcBorders>
              <w:top w:val="single" w:sz="4" w:space="0" w:color="auto"/>
              <w:left w:val="single" w:sz="4" w:space="0" w:color="auto"/>
              <w:bottom w:val="single" w:sz="4" w:space="0" w:color="auto"/>
              <w:right w:val="single" w:sz="4" w:space="0" w:color="auto"/>
            </w:tcBorders>
          </w:tcPr>
          <w:p w14:paraId="755E1E91" w14:textId="4C549589" w:rsidR="00137409" w:rsidRDefault="00137409" w:rsidP="00180F9D">
            <w:pPr>
              <w:spacing w:line="240" w:lineRule="auto"/>
              <w:rPr>
                <w:rFonts w:ascii="Times New Roman" w:hAnsi="Times New Roman"/>
                <w:color w:val="000000"/>
                <w:spacing w:val="-2"/>
              </w:rPr>
            </w:pPr>
            <w:r w:rsidRPr="0009267A">
              <w:rPr>
                <w:rFonts w:ascii="Times New Roman" w:hAnsi="Times New Roman"/>
                <w:color w:val="000000"/>
                <w:spacing w:val="-2"/>
              </w:rPr>
              <w:t>dostosowanie systemu teleinformatycznego</w:t>
            </w:r>
            <w:r>
              <w:rPr>
                <w:rFonts w:ascii="Times New Roman" w:hAnsi="Times New Roman"/>
                <w:color w:val="000000"/>
                <w:spacing w:val="-2"/>
              </w:rPr>
              <w:t xml:space="preserve"> </w:t>
            </w:r>
            <w:r w:rsidRPr="000228C5">
              <w:rPr>
                <w:rFonts w:ascii="Times New Roman" w:hAnsi="Times New Roman"/>
                <w:color w:val="000000"/>
                <w:spacing w:val="-2"/>
              </w:rPr>
              <w:t>na potrzeby składania i rozpatrywania wniosków o wypłatę bonu energetycznego</w:t>
            </w:r>
          </w:p>
        </w:tc>
      </w:tr>
      <w:tr w:rsidR="00137409" w:rsidRPr="0066079A" w14:paraId="0F6DD8E0" w14:textId="77777777" w:rsidTr="00A87747">
        <w:trPr>
          <w:gridAfter w:val="1"/>
          <w:wAfter w:w="13" w:type="dxa"/>
          <w:trHeight w:val="142"/>
        </w:trPr>
        <w:tc>
          <w:tcPr>
            <w:tcW w:w="10937" w:type="dxa"/>
            <w:gridSpan w:val="29"/>
            <w:shd w:val="clear" w:color="auto" w:fill="auto"/>
          </w:tcPr>
          <w:p w14:paraId="39370955" w14:textId="77777777" w:rsidR="00137409" w:rsidRPr="0066079A" w:rsidRDefault="00137409" w:rsidP="00180F9D">
            <w:pPr>
              <w:spacing w:line="240" w:lineRule="auto"/>
              <w:rPr>
                <w:rFonts w:ascii="Times New Roman" w:hAnsi="Times New Roman"/>
                <w:color w:val="000000"/>
                <w:spacing w:val="-2"/>
                <w:sz w:val="21"/>
                <w:szCs w:val="21"/>
              </w:rPr>
            </w:pPr>
          </w:p>
        </w:tc>
      </w:tr>
      <w:tr w:rsidR="00137409" w:rsidRPr="0066079A" w14:paraId="40066037" w14:textId="77777777" w:rsidTr="00A87747">
        <w:trPr>
          <w:gridAfter w:val="1"/>
          <w:wAfter w:w="13" w:type="dxa"/>
          <w:trHeight w:val="302"/>
        </w:trPr>
        <w:tc>
          <w:tcPr>
            <w:tcW w:w="10937" w:type="dxa"/>
            <w:gridSpan w:val="29"/>
            <w:shd w:val="clear" w:color="auto" w:fill="99CCFF"/>
            <w:vAlign w:val="center"/>
          </w:tcPr>
          <w:p w14:paraId="08E47919" w14:textId="77777777" w:rsidR="00137409" w:rsidRPr="0066079A" w:rsidRDefault="00137409" w:rsidP="00180F9D">
            <w:pPr>
              <w:numPr>
                <w:ilvl w:val="0"/>
                <w:numId w:val="3"/>
              </w:numPr>
              <w:spacing w:before="60" w:after="60" w:line="240" w:lineRule="auto"/>
              <w:ind w:left="318" w:hanging="284"/>
              <w:jc w:val="both"/>
              <w:rPr>
                <w:rFonts w:ascii="Times New Roman" w:hAnsi="Times New Roman"/>
                <w:b/>
                <w:color w:val="000000"/>
                <w:sz w:val="21"/>
                <w:szCs w:val="21"/>
              </w:rPr>
            </w:pPr>
            <w:r w:rsidRPr="0066079A">
              <w:rPr>
                <w:rFonts w:ascii="Times New Roman" w:hAnsi="Times New Roman"/>
                <w:b/>
                <w:color w:val="000000"/>
                <w:sz w:val="21"/>
                <w:szCs w:val="21"/>
              </w:rPr>
              <w:t>Informacje na temat zakresu, czasu trwania i podsumowanie wyników konsultacji</w:t>
            </w:r>
          </w:p>
        </w:tc>
      </w:tr>
      <w:tr w:rsidR="00137409" w:rsidRPr="0066079A" w14:paraId="665A6A33" w14:textId="77777777" w:rsidTr="00A87747">
        <w:trPr>
          <w:gridAfter w:val="1"/>
          <w:wAfter w:w="13" w:type="dxa"/>
          <w:trHeight w:val="342"/>
        </w:trPr>
        <w:tc>
          <w:tcPr>
            <w:tcW w:w="10937" w:type="dxa"/>
            <w:gridSpan w:val="29"/>
            <w:shd w:val="clear" w:color="auto" w:fill="FFFFFF"/>
          </w:tcPr>
          <w:p w14:paraId="1EDB8FDA" w14:textId="77777777" w:rsidR="00137409" w:rsidRDefault="00137409" w:rsidP="00180F9D">
            <w:pPr>
              <w:spacing w:after="120" w:line="240" w:lineRule="auto"/>
              <w:jc w:val="both"/>
              <w:rPr>
                <w:rFonts w:ascii="Times New Roman" w:hAnsi="Times New Roman"/>
                <w:spacing w:val="-2"/>
                <w:sz w:val="21"/>
                <w:szCs w:val="21"/>
              </w:rPr>
            </w:pPr>
            <w:r w:rsidRPr="0066079A">
              <w:rPr>
                <w:rFonts w:ascii="Times New Roman" w:hAnsi="Times New Roman"/>
                <w:spacing w:val="-2"/>
                <w:sz w:val="21"/>
                <w:szCs w:val="21"/>
              </w:rPr>
              <w:t xml:space="preserve">Projekt nie był przedmiotem </w:t>
            </w:r>
            <w:proofErr w:type="spellStart"/>
            <w:r w:rsidRPr="0066079A">
              <w:rPr>
                <w:rFonts w:ascii="Times New Roman" w:hAnsi="Times New Roman"/>
                <w:spacing w:val="-2"/>
                <w:sz w:val="21"/>
                <w:szCs w:val="21"/>
              </w:rPr>
              <w:t>pre</w:t>
            </w:r>
            <w:proofErr w:type="spellEnd"/>
            <w:r w:rsidRPr="0066079A">
              <w:rPr>
                <w:rFonts w:ascii="Times New Roman" w:hAnsi="Times New Roman"/>
                <w:spacing w:val="-2"/>
                <w:sz w:val="21"/>
                <w:szCs w:val="21"/>
              </w:rPr>
              <w:t>-konsultacji.</w:t>
            </w:r>
          </w:p>
          <w:p w14:paraId="682A5E08" w14:textId="77777777" w:rsidR="00137409" w:rsidRPr="00851A6B" w:rsidRDefault="00137409" w:rsidP="00180F9D">
            <w:pPr>
              <w:spacing w:after="120" w:line="240" w:lineRule="auto"/>
              <w:jc w:val="both"/>
              <w:rPr>
                <w:rFonts w:ascii="Times New Roman" w:hAnsi="Times New Roman"/>
                <w:spacing w:val="-2"/>
                <w:sz w:val="21"/>
                <w:szCs w:val="21"/>
              </w:rPr>
            </w:pPr>
            <w:r w:rsidRPr="00851A6B">
              <w:rPr>
                <w:rFonts w:ascii="Times New Roman" w:hAnsi="Times New Roman"/>
                <w:spacing w:val="-2"/>
                <w:sz w:val="21"/>
                <w:szCs w:val="21"/>
              </w:rPr>
              <w:t xml:space="preserve">Projekt przedmiotowej regulacji, zgodnie z wymogami określonymi w art. 5 ustawy z dnia 7 lipca 2005 o działalności lobbingowej w procesie stosowania prawa (Dz. U. z 2017 r. poz. 248), zostanie udostępniony w Biuletynie Informacji Publicznej na stronie podmiotowej Rządowego Centrum Legislacji, w serwisie „Rządowy Proces Legislacyjny”. </w:t>
            </w:r>
          </w:p>
          <w:p w14:paraId="3C664FD1" w14:textId="75153F36" w:rsidR="00137409" w:rsidRPr="00851A6B" w:rsidRDefault="00137409" w:rsidP="00180F9D">
            <w:pPr>
              <w:spacing w:after="120" w:line="240" w:lineRule="auto"/>
              <w:jc w:val="both"/>
              <w:rPr>
                <w:rFonts w:ascii="Times New Roman" w:hAnsi="Times New Roman"/>
                <w:spacing w:val="-2"/>
                <w:sz w:val="21"/>
                <w:szCs w:val="21"/>
              </w:rPr>
            </w:pPr>
            <w:r>
              <w:rPr>
                <w:rFonts w:ascii="Times New Roman" w:hAnsi="Times New Roman"/>
                <w:spacing w:val="-2"/>
                <w:sz w:val="21"/>
                <w:szCs w:val="21"/>
              </w:rPr>
              <w:t>P</w:t>
            </w:r>
            <w:r w:rsidRPr="00851A6B">
              <w:rPr>
                <w:rFonts w:ascii="Times New Roman" w:hAnsi="Times New Roman"/>
                <w:spacing w:val="-2"/>
                <w:sz w:val="21"/>
                <w:szCs w:val="21"/>
              </w:rPr>
              <w:t xml:space="preserve">rojekt </w:t>
            </w:r>
            <w:r>
              <w:rPr>
                <w:rFonts w:ascii="Times New Roman" w:hAnsi="Times New Roman"/>
                <w:spacing w:val="-2"/>
                <w:sz w:val="21"/>
                <w:szCs w:val="21"/>
              </w:rPr>
              <w:t>zostanie</w:t>
            </w:r>
            <w:r w:rsidRPr="00851A6B">
              <w:rPr>
                <w:rFonts w:ascii="Times New Roman" w:hAnsi="Times New Roman"/>
                <w:spacing w:val="-2"/>
                <w:sz w:val="21"/>
                <w:szCs w:val="21"/>
              </w:rPr>
              <w:t xml:space="preserve"> skierowa</w:t>
            </w:r>
            <w:r>
              <w:rPr>
                <w:rFonts w:ascii="Times New Roman" w:hAnsi="Times New Roman"/>
                <w:spacing w:val="-2"/>
                <w:sz w:val="21"/>
                <w:szCs w:val="21"/>
              </w:rPr>
              <w:t>ny</w:t>
            </w:r>
            <w:r w:rsidRPr="00851A6B">
              <w:rPr>
                <w:rFonts w:ascii="Times New Roman" w:hAnsi="Times New Roman"/>
                <w:spacing w:val="-2"/>
                <w:sz w:val="21"/>
                <w:szCs w:val="21"/>
              </w:rPr>
              <w:t xml:space="preserve"> bezpośrednio do rozpatrzenia przez Stały Komitet Rady Ministrów </w:t>
            </w:r>
            <w:r>
              <w:rPr>
                <w:rFonts w:ascii="Times New Roman" w:hAnsi="Times New Roman"/>
                <w:spacing w:val="-2"/>
                <w:sz w:val="21"/>
                <w:szCs w:val="21"/>
              </w:rPr>
              <w:t>n</w:t>
            </w:r>
            <w:r w:rsidRPr="00851A6B">
              <w:rPr>
                <w:rFonts w:ascii="Times New Roman" w:hAnsi="Times New Roman"/>
                <w:spacing w:val="-2"/>
                <w:sz w:val="21"/>
                <w:szCs w:val="21"/>
              </w:rPr>
              <w:t xml:space="preserve">a podstawie </w:t>
            </w:r>
            <w:r w:rsidRPr="00DE4A60">
              <w:rPr>
                <w:rFonts w:ascii="Times New Roman" w:hAnsi="Times New Roman"/>
                <w:spacing w:val="-2"/>
                <w:sz w:val="21"/>
                <w:szCs w:val="21"/>
              </w:rPr>
              <w:t xml:space="preserve">§ 61 ust. 5 uchwały nr 190 Rady Ministrów z dnia 29 października 2013 r. – Regulamin pracy Rady Ministrów (M.P. z 2022 r. poz. 348) </w:t>
            </w:r>
            <w:r>
              <w:rPr>
                <w:rFonts w:ascii="Times New Roman" w:hAnsi="Times New Roman"/>
                <w:spacing w:val="-2"/>
                <w:sz w:val="21"/>
                <w:szCs w:val="21"/>
              </w:rPr>
              <w:t>w związku z</w:t>
            </w:r>
            <w:r w:rsidRPr="00DE4A60">
              <w:rPr>
                <w:rFonts w:ascii="Times New Roman" w:hAnsi="Times New Roman"/>
                <w:spacing w:val="-2"/>
                <w:sz w:val="21"/>
                <w:szCs w:val="21"/>
              </w:rPr>
              <w:t xml:space="preserve"> niespełnieni</w:t>
            </w:r>
            <w:r>
              <w:rPr>
                <w:rFonts w:ascii="Times New Roman" w:hAnsi="Times New Roman"/>
                <w:spacing w:val="-2"/>
                <w:sz w:val="21"/>
                <w:szCs w:val="21"/>
              </w:rPr>
              <w:t>em</w:t>
            </w:r>
            <w:r w:rsidRPr="00DE4A60">
              <w:rPr>
                <w:rFonts w:ascii="Times New Roman" w:hAnsi="Times New Roman"/>
                <w:spacing w:val="-2"/>
                <w:sz w:val="21"/>
                <w:szCs w:val="21"/>
              </w:rPr>
              <w:t xml:space="preserve"> wymogów określonych w § 58 i 60, w tym na pominięciu wszystkich wcześniejszych etapów procedury legislacyjnej określonych w Regulaminie pracy Rady Ministrów, tj. w szczególności: uzgodnień, konsultacji publicznych, opiniowania, właściwych komitetów</w:t>
            </w:r>
            <w:r w:rsidRPr="00851A6B">
              <w:rPr>
                <w:rFonts w:ascii="Times New Roman" w:hAnsi="Times New Roman"/>
                <w:spacing w:val="-2"/>
                <w:sz w:val="21"/>
                <w:szCs w:val="21"/>
              </w:rPr>
              <w:t>.</w:t>
            </w:r>
          </w:p>
          <w:p w14:paraId="3C10E8E1" w14:textId="6FF1D3D4" w:rsidR="00137409" w:rsidRPr="00851A6B" w:rsidRDefault="00137409" w:rsidP="00180F9D">
            <w:pPr>
              <w:spacing w:after="120" w:line="240" w:lineRule="auto"/>
              <w:jc w:val="both"/>
              <w:rPr>
                <w:rFonts w:ascii="Times New Roman" w:hAnsi="Times New Roman"/>
                <w:spacing w:val="-2"/>
                <w:sz w:val="21"/>
                <w:szCs w:val="21"/>
              </w:rPr>
            </w:pPr>
            <w:r w:rsidRPr="00851A6B">
              <w:rPr>
                <w:rFonts w:ascii="Times New Roman" w:hAnsi="Times New Roman"/>
                <w:spacing w:val="-2"/>
                <w:sz w:val="21"/>
                <w:szCs w:val="21"/>
              </w:rPr>
              <w:t>Pilne procedowanie oraz priorytetowe traktowanie projektowanej regulacji jest uwarunkowane koniecznością niezwłocznego wdrożenia instrumentów osłonowych zawartych w projekcie</w:t>
            </w:r>
            <w:r>
              <w:rPr>
                <w:rFonts w:ascii="Times New Roman" w:hAnsi="Times New Roman"/>
                <w:spacing w:val="-2"/>
                <w:sz w:val="21"/>
                <w:szCs w:val="21"/>
              </w:rPr>
              <w:t>, chroniących obywateli w II połowie 2024 r.</w:t>
            </w:r>
          </w:p>
          <w:p w14:paraId="6FC2E56A" w14:textId="77777777" w:rsidR="00137409" w:rsidRPr="0066079A" w:rsidRDefault="00137409" w:rsidP="00180F9D">
            <w:pPr>
              <w:spacing w:after="120" w:line="240" w:lineRule="auto"/>
              <w:jc w:val="both"/>
              <w:rPr>
                <w:rFonts w:ascii="Times New Roman" w:hAnsi="Times New Roman"/>
                <w:spacing w:val="-2"/>
                <w:sz w:val="21"/>
                <w:szCs w:val="21"/>
              </w:rPr>
            </w:pPr>
            <w:r w:rsidRPr="0066079A">
              <w:rPr>
                <w:rFonts w:ascii="Times New Roman" w:hAnsi="Times New Roman"/>
                <w:spacing w:val="-2"/>
                <w:sz w:val="21"/>
                <w:szCs w:val="21"/>
              </w:rPr>
              <w:t>Z uwagi na zakres projektu, który nie dotyczy zadań związków zawodowych, projekt nie podlega opiniowaniu przez reprezentatywne związki zawodowe.</w:t>
            </w:r>
          </w:p>
          <w:p w14:paraId="22E80002" w14:textId="75204F5F" w:rsidR="00137409" w:rsidRPr="0066079A" w:rsidRDefault="00137409" w:rsidP="00180F9D">
            <w:pPr>
              <w:spacing w:after="120" w:line="240" w:lineRule="auto"/>
              <w:jc w:val="both"/>
              <w:rPr>
                <w:rFonts w:ascii="Times New Roman" w:hAnsi="Times New Roman"/>
                <w:spacing w:val="-2"/>
                <w:sz w:val="21"/>
                <w:szCs w:val="21"/>
              </w:rPr>
            </w:pPr>
            <w:r w:rsidRPr="0066079A">
              <w:rPr>
                <w:rFonts w:ascii="Times New Roman" w:hAnsi="Times New Roman"/>
                <w:spacing w:val="-2"/>
                <w:sz w:val="21"/>
                <w:szCs w:val="21"/>
              </w:rPr>
              <w:t>Projekt podlega opiniowaniu przez Komisję Wspólną Rządu i Samorządu Terytorialnego, gdyż dotyczy spraw związanych z samorządem terytorialnym, o których mowa w ustawie z dnia 6 maja 2005 r. o Komisji Wspólnej Rządu i Samorządu Terytorialnego oraz o przedstawicielach Rzeczypospolitej Polskiej w Komitecie Regionów Unii Europejskiej (Dz.</w:t>
            </w:r>
            <w:r w:rsidR="00180F9D">
              <w:rPr>
                <w:rFonts w:ascii="Times New Roman" w:hAnsi="Times New Roman"/>
                <w:spacing w:val="-2"/>
                <w:sz w:val="21"/>
                <w:szCs w:val="21"/>
              </w:rPr>
              <w:t xml:space="preserve"> </w:t>
            </w:r>
            <w:r w:rsidRPr="0066079A">
              <w:rPr>
                <w:rFonts w:ascii="Times New Roman" w:hAnsi="Times New Roman"/>
                <w:spacing w:val="-2"/>
                <w:sz w:val="21"/>
                <w:szCs w:val="21"/>
              </w:rPr>
              <w:t>U. poz. 759</w:t>
            </w:r>
            <w:r w:rsidRPr="00DE7D5A">
              <w:rPr>
                <w:rFonts w:ascii="Times New Roman" w:hAnsi="Times New Roman"/>
                <w:spacing w:val="-2"/>
                <w:sz w:val="21"/>
                <w:szCs w:val="21"/>
              </w:rPr>
              <w:t xml:space="preserve">, z </w:t>
            </w:r>
            <w:proofErr w:type="spellStart"/>
            <w:r w:rsidRPr="00DE7D5A">
              <w:rPr>
                <w:rFonts w:ascii="Times New Roman" w:hAnsi="Times New Roman"/>
                <w:spacing w:val="-2"/>
                <w:sz w:val="21"/>
                <w:szCs w:val="21"/>
              </w:rPr>
              <w:t>późn</w:t>
            </w:r>
            <w:proofErr w:type="spellEnd"/>
            <w:r w:rsidRPr="00DE7D5A">
              <w:rPr>
                <w:rFonts w:ascii="Times New Roman" w:hAnsi="Times New Roman"/>
                <w:spacing w:val="-2"/>
                <w:sz w:val="21"/>
                <w:szCs w:val="21"/>
              </w:rPr>
              <w:t>. zm.</w:t>
            </w:r>
            <w:r w:rsidRPr="0066079A">
              <w:rPr>
                <w:rFonts w:ascii="Times New Roman" w:hAnsi="Times New Roman"/>
                <w:spacing w:val="-2"/>
                <w:sz w:val="21"/>
                <w:szCs w:val="21"/>
              </w:rPr>
              <w:t>).</w:t>
            </w:r>
          </w:p>
          <w:p w14:paraId="395500CD" w14:textId="5EC2E55C" w:rsidR="00137409" w:rsidRPr="0066079A" w:rsidRDefault="00137409" w:rsidP="00180F9D">
            <w:pPr>
              <w:spacing w:after="120" w:line="240" w:lineRule="auto"/>
              <w:jc w:val="both"/>
              <w:rPr>
                <w:rFonts w:ascii="Times New Roman" w:hAnsi="Times New Roman"/>
                <w:spacing w:val="-2"/>
                <w:sz w:val="21"/>
                <w:szCs w:val="21"/>
              </w:rPr>
            </w:pPr>
            <w:r w:rsidRPr="0066079A">
              <w:rPr>
                <w:rFonts w:ascii="Times New Roman" w:hAnsi="Times New Roman"/>
                <w:spacing w:val="-2"/>
                <w:sz w:val="21"/>
                <w:szCs w:val="21"/>
              </w:rPr>
              <w:lastRenderedPageBreak/>
              <w:t>Projekt nie dotyczy spraw, o których mowa w art. 1 ustawy z dnia 24 lipca 2015 r. o Radzie Dialogu Społecznego i innych instytucji dialogu społecznego (Dz.</w:t>
            </w:r>
            <w:r>
              <w:rPr>
                <w:rFonts w:ascii="Times New Roman" w:hAnsi="Times New Roman"/>
                <w:spacing w:val="-2"/>
                <w:sz w:val="21"/>
                <w:szCs w:val="21"/>
              </w:rPr>
              <w:t xml:space="preserve"> </w:t>
            </w:r>
            <w:r w:rsidRPr="0066079A">
              <w:rPr>
                <w:rFonts w:ascii="Times New Roman" w:hAnsi="Times New Roman"/>
                <w:spacing w:val="-2"/>
                <w:sz w:val="21"/>
                <w:szCs w:val="21"/>
              </w:rPr>
              <w:t>U. z 2018 r. poz. 2232), wobec czego nie wymaga zaopiniowania przez Radę Dialogu Społecznego.</w:t>
            </w:r>
          </w:p>
          <w:p w14:paraId="237BFB0A" w14:textId="3944EF21" w:rsidR="00137409" w:rsidRPr="0066079A" w:rsidRDefault="00137409" w:rsidP="00180F9D">
            <w:pPr>
              <w:spacing w:after="120" w:line="240" w:lineRule="auto"/>
              <w:jc w:val="both"/>
              <w:rPr>
                <w:rFonts w:ascii="Times New Roman" w:hAnsi="Times New Roman"/>
                <w:spacing w:val="-2"/>
                <w:sz w:val="21"/>
                <w:szCs w:val="21"/>
              </w:rPr>
            </w:pPr>
            <w:r w:rsidRPr="0066079A">
              <w:rPr>
                <w:rFonts w:ascii="Times New Roman" w:hAnsi="Times New Roman"/>
                <w:spacing w:val="-2"/>
                <w:sz w:val="21"/>
                <w:szCs w:val="21"/>
              </w:rPr>
              <w:t>Projekt nie wymaga przedstawienia właściwym instytucjom i organom Unii Europejskiej, w tym Europejskiemu Bankowi Centralnemu, celem uzyskania opinii, dokonania powiadomienia, konsultacji albo uzgodnienia projektu.</w:t>
            </w:r>
          </w:p>
        </w:tc>
      </w:tr>
      <w:tr w:rsidR="00137409" w:rsidRPr="0066079A" w14:paraId="31D2ED0D" w14:textId="77777777" w:rsidTr="00A87747">
        <w:trPr>
          <w:gridAfter w:val="1"/>
          <w:wAfter w:w="13" w:type="dxa"/>
          <w:trHeight w:val="363"/>
        </w:trPr>
        <w:tc>
          <w:tcPr>
            <w:tcW w:w="10937" w:type="dxa"/>
            <w:gridSpan w:val="29"/>
            <w:shd w:val="clear" w:color="auto" w:fill="99CCFF"/>
            <w:vAlign w:val="center"/>
          </w:tcPr>
          <w:p w14:paraId="35A90FE1" w14:textId="77777777" w:rsidR="00137409" w:rsidRPr="0066079A" w:rsidRDefault="00137409" w:rsidP="00180F9D">
            <w:pPr>
              <w:numPr>
                <w:ilvl w:val="0"/>
                <w:numId w:val="3"/>
              </w:numPr>
              <w:spacing w:before="60" w:after="60" w:line="240" w:lineRule="auto"/>
              <w:ind w:left="318" w:hanging="284"/>
              <w:jc w:val="both"/>
              <w:rPr>
                <w:rFonts w:ascii="Times New Roman" w:hAnsi="Times New Roman"/>
                <w:b/>
                <w:color w:val="000000"/>
                <w:sz w:val="21"/>
                <w:szCs w:val="21"/>
              </w:rPr>
            </w:pPr>
            <w:r w:rsidRPr="0066079A">
              <w:rPr>
                <w:rFonts w:ascii="Times New Roman" w:hAnsi="Times New Roman"/>
                <w:b/>
                <w:color w:val="000000"/>
                <w:sz w:val="21"/>
                <w:szCs w:val="21"/>
              </w:rPr>
              <w:lastRenderedPageBreak/>
              <w:t xml:space="preserve"> Wpływ na sektor finansów publicznych</w:t>
            </w:r>
          </w:p>
        </w:tc>
      </w:tr>
      <w:tr w:rsidR="00137409" w:rsidRPr="0066079A" w14:paraId="554192D2" w14:textId="77777777" w:rsidTr="00A87747">
        <w:trPr>
          <w:gridAfter w:val="1"/>
          <w:wAfter w:w="13" w:type="dxa"/>
          <w:trHeight w:val="142"/>
        </w:trPr>
        <w:tc>
          <w:tcPr>
            <w:tcW w:w="3126" w:type="dxa"/>
            <w:gridSpan w:val="4"/>
            <w:vMerge w:val="restart"/>
            <w:shd w:val="clear" w:color="auto" w:fill="FFFFFF"/>
          </w:tcPr>
          <w:p w14:paraId="03DCDC0D" w14:textId="77777777" w:rsidR="00137409" w:rsidRPr="0066079A" w:rsidRDefault="00137409" w:rsidP="00180F9D">
            <w:pPr>
              <w:spacing w:before="40" w:after="40" w:line="240" w:lineRule="auto"/>
              <w:rPr>
                <w:rFonts w:ascii="Times New Roman" w:hAnsi="Times New Roman"/>
                <w:i/>
                <w:color w:val="000000"/>
                <w:sz w:val="21"/>
                <w:szCs w:val="21"/>
              </w:rPr>
            </w:pPr>
            <w:r w:rsidRPr="0066079A">
              <w:rPr>
                <w:rFonts w:ascii="Times New Roman" w:hAnsi="Times New Roman"/>
                <w:color w:val="000000"/>
                <w:sz w:val="21"/>
                <w:szCs w:val="21"/>
              </w:rPr>
              <w:t>(ceny stałe z 2024 r.)</w:t>
            </w:r>
          </w:p>
        </w:tc>
        <w:tc>
          <w:tcPr>
            <w:tcW w:w="7811" w:type="dxa"/>
            <w:gridSpan w:val="25"/>
            <w:shd w:val="clear" w:color="auto" w:fill="FFFFFF"/>
          </w:tcPr>
          <w:p w14:paraId="4AF28769" w14:textId="3F1A8B00" w:rsidR="00137409" w:rsidRPr="0066079A" w:rsidRDefault="00137409" w:rsidP="00180F9D">
            <w:pPr>
              <w:spacing w:before="40" w:after="40" w:line="240" w:lineRule="auto"/>
              <w:jc w:val="center"/>
              <w:rPr>
                <w:rFonts w:ascii="Times New Roman" w:hAnsi="Times New Roman"/>
                <w:i/>
                <w:color w:val="000000"/>
                <w:spacing w:val="-2"/>
                <w:sz w:val="21"/>
                <w:szCs w:val="21"/>
              </w:rPr>
            </w:pPr>
            <w:r w:rsidRPr="0066079A">
              <w:rPr>
                <w:rFonts w:ascii="Times New Roman" w:hAnsi="Times New Roman"/>
                <w:color w:val="000000"/>
                <w:sz w:val="21"/>
                <w:szCs w:val="21"/>
              </w:rPr>
              <w:t>Skutki w okresie 10 lat od wejścia w życie zmian [mld zł]</w:t>
            </w:r>
          </w:p>
        </w:tc>
      </w:tr>
      <w:tr w:rsidR="002B2290" w:rsidRPr="007002D7" w14:paraId="6469899E" w14:textId="77777777" w:rsidTr="00C0085E">
        <w:trPr>
          <w:gridAfter w:val="1"/>
          <w:wAfter w:w="13" w:type="dxa"/>
          <w:trHeight w:val="142"/>
        </w:trPr>
        <w:tc>
          <w:tcPr>
            <w:tcW w:w="3126" w:type="dxa"/>
            <w:gridSpan w:val="4"/>
            <w:vMerge/>
            <w:shd w:val="clear" w:color="auto" w:fill="FFFFFF"/>
          </w:tcPr>
          <w:p w14:paraId="4FAA6DA9" w14:textId="77777777" w:rsidR="00137409" w:rsidRPr="0066079A" w:rsidRDefault="00137409" w:rsidP="00180F9D">
            <w:pPr>
              <w:spacing w:before="40" w:after="40" w:line="240" w:lineRule="auto"/>
              <w:rPr>
                <w:rFonts w:ascii="Times New Roman" w:hAnsi="Times New Roman"/>
                <w:i/>
                <w:color w:val="000000"/>
                <w:sz w:val="21"/>
                <w:szCs w:val="21"/>
              </w:rPr>
            </w:pPr>
          </w:p>
        </w:tc>
        <w:tc>
          <w:tcPr>
            <w:tcW w:w="620" w:type="dxa"/>
            <w:gridSpan w:val="2"/>
            <w:shd w:val="clear" w:color="auto" w:fill="FFFFFF"/>
          </w:tcPr>
          <w:p w14:paraId="583DD166" w14:textId="77777777" w:rsidR="00137409" w:rsidRPr="00D75C41" w:rsidRDefault="00137409" w:rsidP="00180F9D">
            <w:pPr>
              <w:spacing w:line="240" w:lineRule="auto"/>
              <w:jc w:val="center"/>
              <w:rPr>
                <w:rFonts w:ascii="Times New Roman" w:hAnsi="Times New Roman"/>
                <w:color w:val="000000"/>
                <w:sz w:val="16"/>
                <w:szCs w:val="16"/>
              </w:rPr>
            </w:pPr>
            <w:r w:rsidRPr="00D75C41">
              <w:rPr>
                <w:rFonts w:ascii="Times New Roman" w:hAnsi="Times New Roman"/>
                <w:color w:val="000000"/>
                <w:sz w:val="16"/>
                <w:szCs w:val="16"/>
              </w:rPr>
              <w:t>0</w:t>
            </w:r>
          </w:p>
        </w:tc>
        <w:tc>
          <w:tcPr>
            <w:tcW w:w="621" w:type="dxa"/>
            <w:gridSpan w:val="2"/>
            <w:shd w:val="clear" w:color="auto" w:fill="FFFFFF"/>
          </w:tcPr>
          <w:p w14:paraId="56970A33" w14:textId="77777777" w:rsidR="00137409" w:rsidRPr="00D75C41" w:rsidRDefault="00137409" w:rsidP="00180F9D">
            <w:pPr>
              <w:spacing w:line="240" w:lineRule="auto"/>
              <w:jc w:val="center"/>
              <w:rPr>
                <w:rFonts w:ascii="Times New Roman" w:hAnsi="Times New Roman"/>
                <w:color w:val="000000"/>
                <w:sz w:val="16"/>
                <w:szCs w:val="16"/>
              </w:rPr>
            </w:pPr>
            <w:r w:rsidRPr="00D75C41">
              <w:rPr>
                <w:rFonts w:ascii="Times New Roman" w:hAnsi="Times New Roman"/>
                <w:color w:val="000000"/>
                <w:sz w:val="16"/>
                <w:szCs w:val="16"/>
              </w:rPr>
              <w:t>1</w:t>
            </w:r>
          </w:p>
          <w:p w14:paraId="7B6F1FB0" w14:textId="77777777" w:rsidR="00137409" w:rsidRPr="00D75C41" w:rsidRDefault="00137409" w:rsidP="00180F9D">
            <w:pPr>
              <w:spacing w:line="240" w:lineRule="auto"/>
              <w:jc w:val="center"/>
              <w:rPr>
                <w:rFonts w:ascii="Times New Roman" w:hAnsi="Times New Roman"/>
                <w:color w:val="000000"/>
                <w:sz w:val="16"/>
                <w:szCs w:val="16"/>
              </w:rPr>
            </w:pPr>
            <w:r w:rsidRPr="00D75C41">
              <w:rPr>
                <w:rFonts w:ascii="Times New Roman" w:hAnsi="Times New Roman"/>
                <w:color w:val="000000"/>
                <w:sz w:val="16"/>
                <w:szCs w:val="16"/>
              </w:rPr>
              <w:t>2025</w:t>
            </w:r>
          </w:p>
        </w:tc>
        <w:tc>
          <w:tcPr>
            <w:tcW w:w="620" w:type="dxa"/>
            <w:gridSpan w:val="3"/>
            <w:shd w:val="clear" w:color="auto" w:fill="FFFFFF"/>
          </w:tcPr>
          <w:p w14:paraId="711FA8FB" w14:textId="77777777" w:rsidR="00137409" w:rsidRPr="00D75C41" w:rsidRDefault="00137409" w:rsidP="00180F9D">
            <w:pPr>
              <w:spacing w:line="240" w:lineRule="auto"/>
              <w:jc w:val="center"/>
              <w:rPr>
                <w:rFonts w:ascii="Times New Roman" w:hAnsi="Times New Roman"/>
                <w:color w:val="000000"/>
                <w:sz w:val="16"/>
                <w:szCs w:val="16"/>
              </w:rPr>
            </w:pPr>
            <w:r w:rsidRPr="00D75C41">
              <w:rPr>
                <w:rFonts w:ascii="Times New Roman" w:hAnsi="Times New Roman"/>
                <w:color w:val="000000"/>
                <w:sz w:val="16"/>
                <w:szCs w:val="16"/>
              </w:rPr>
              <w:t>2</w:t>
            </w:r>
          </w:p>
          <w:p w14:paraId="66A2A3BC" w14:textId="55AF17FB" w:rsidR="00137409" w:rsidRPr="00D75C41" w:rsidRDefault="00137409" w:rsidP="00180F9D">
            <w:pPr>
              <w:spacing w:line="240" w:lineRule="auto"/>
              <w:jc w:val="center"/>
              <w:rPr>
                <w:rFonts w:ascii="Times New Roman" w:hAnsi="Times New Roman"/>
                <w:color w:val="000000"/>
                <w:sz w:val="16"/>
                <w:szCs w:val="16"/>
              </w:rPr>
            </w:pPr>
            <w:r w:rsidRPr="00D75C41">
              <w:rPr>
                <w:rFonts w:ascii="Times New Roman" w:hAnsi="Times New Roman"/>
                <w:color w:val="000000"/>
                <w:sz w:val="16"/>
                <w:szCs w:val="16"/>
              </w:rPr>
              <w:t>2026</w:t>
            </w:r>
          </w:p>
        </w:tc>
        <w:tc>
          <w:tcPr>
            <w:tcW w:w="621" w:type="dxa"/>
            <w:gridSpan w:val="2"/>
            <w:shd w:val="clear" w:color="auto" w:fill="FFFFFF"/>
          </w:tcPr>
          <w:p w14:paraId="08705B8F" w14:textId="77777777" w:rsidR="00137409" w:rsidRPr="00D75C41" w:rsidRDefault="00137409" w:rsidP="00180F9D">
            <w:pPr>
              <w:spacing w:line="240" w:lineRule="auto"/>
              <w:jc w:val="center"/>
              <w:rPr>
                <w:rFonts w:ascii="Times New Roman" w:hAnsi="Times New Roman"/>
                <w:color w:val="000000"/>
                <w:sz w:val="16"/>
                <w:szCs w:val="16"/>
              </w:rPr>
            </w:pPr>
            <w:r w:rsidRPr="00D75C41">
              <w:rPr>
                <w:rFonts w:ascii="Times New Roman" w:hAnsi="Times New Roman"/>
                <w:color w:val="000000"/>
                <w:sz w:val="16"/>
                <w:szCs w:val="16"/>
              </w:rPr>
              <w:t>3</w:t>
            </w:r>
          </w:p>
          <w:p w14:paraId="597544E1" w14:textId="77777777" w:rsidR="00137409" w:rsidRPr="00D75C41" w:rsidRDefault="00137409" w:rsidP="00180F9D">
            <w:pPr>
              <w:spacing w:line="240" w:lineRule="auto"/>
              <w:jc w:val="center"/>
              <w:rPr>
                <w:rFonts w:ascii="Times New Roman" w:hAnsi="Times New Roman"/>
                <w:color w:val="000000"/>
                <w:sz w:val="16"/>
                <w:szCs w:val="16"/>
              </w:rPr>
            </w:pPr>
            <w:r w:rsidRPr="00D75C41">
              <w:rPr>
                <w:rFonts w:ascii="Times New Roman" w:hAnsi="Times New Roman"/>
                <w:color w:val="000000"/>
                <w:sz w:val="16"/>
                <w:szCs w:val="16"/>
              </w:rPr>
              <w:t>2027</w:t>
            </w:r>
          </w:p>
        </w:tc>
        <w:tc>
          <w:tcPr>
            <w:tcW w:w="620" w:type="dxa"/>
            <w:gridSpan w:val="2"/>
            <w:shd w:val="clear" w:color="auto" w:fill="FFFFFF"/>
          </w:tcPr>
          <w:p w14:paraId="02E053F8" w14:textId="77777777" w:rsidR="00137409" w:rsidRPr="00D75C41" w:rsidRDefault="00137409" w:rsidP="00180F9D">
            <w:pPr>
              <w:spacing w:line="240" w:lineRule="auto"/>
              <w:jc w:val="center"/>
              <w:rPr>
                <w:rFonts w:ascii="Times New Roman" w:hAnsi="Times New Roman"/>
                <w:color w:val="000000"/>
                <w:sz w:val="16"/>
                <w:szCs w:val="16"/>
              </w:rPr>
            </w:pPr>
            <w:r w:rsidRPr="00D75C41">
              <w:rPr>
                <w:rFonts w:ascii="Times New Roman" w:hAnsi="Times New Roman"/>
                <w:color w:val="000000"/>
                <w:sz w:val="16"/>
                <w:szCs w:val="16"/>
              </w:rPr>
              <w:t>4</w:t>
            </w:r>
          </w:p>
          <w:p w14:paraId="7301F79B" w14:textId="77777777" w:rsidR="00137409" w:rsidRPr="00D75C41" w:rsidRDefault="00137409" w:rsidP="00180F9D">
            <w:pPr>
              <w:spacing w:line="240" w:lineRule="auto"/>
              <w:jc w:val="center"/>
              <w:rPr>
                <w:rFonts w:ascii="Times New Roman" w:hAnsi="Times New Roman"/>
                <w:color w:val="000000"/>
                <w:sz w:val="16"/>
                <w:szCs w:val="16"/>
              </w:rPr>
            </w:pPr>
            <w:r w:rsidRPr="00D75C41">
              <w:rPr>
                <w:rFonts w:ascii="Times New Roman" w:hAnsi="Times New Roman"/>
                <w:color w:val="000000"/>
                <w:sz w:val="16"/>
                <w:szCs w:val="16"/>
              </w:rPr>
              <w:t>2028</w:t>
            </w:r>
          </w:p>
        </w:tc>
        <w:tc>
          <w:tcPr>
            <w:tcW w:w="621" w:type="dxa"/>
            <w:gridSpan w:val="3"/>
            <w:shd w:val="clear" w:color="auto" w:fill="FFFFFF"/>
          </w:tcPr>
          <w:p w14:paraId="2D84DD17" w14:textId="77777777" w:rsidR="00137409" w:rsidRPr="00D75C41" w:rsidRDefault="00137409" w:rsidP="00180F9D">
            <w:pPr>
              <w:spacing w:line="240" w:lineRule="auto"/>
              <w:jc w:val="center"/>
              <w:rPr>
                <w:rFonts w:ascii="Times New Roman" w:hAnsi="Times New Roman"/>
                <w:color w:val="000000"/>
                <w:sz w:val="16"/>
                <w:szCs w:val="16"/>
              </w:rPr>
            </w:pPr>
            <w:r w:rsidRPr="00D75C41">
              <w:rPr>
                <w:rFonts w:ascii="Times New Roman" w:hAnsi="Times New Roman"/>
                <w:color w:val="000000"/>
                <w:sz w:val="16"/>
                <w:szCs w:val="16"/>
              </w:rPr>
              <w:t>5</w:t>
            </w:r>
          </w:p>
          <w:p w14:paraId="5D22756C" w14:textId="77777777" w:rsidR="00137409" w:rsidRPr="00D75C41" w:rsidRDefault="00137409" w:rsidP="00180F9D">
            <w:pPr>
              <w:spacing w:line="240" w:lineRule="auto"/>
              <w:jc w:val="center"/>
              <w:rPr>
                <w:rFonts w:ascii="Times New Roman" w:hAnsi="Times New Roman"/>
                <w:color w:val="000000"/>
                <w:sz w:val="16"/>
                <w:szCs w:val="16"/>
              </w:rPr>
            </w:pPr>
            <w:r w:rsidRPr="00D75C41">
              <w:rPr>
                <w:rFonts w:ascii="Times New Roman" w:hAnsi="Times New Roman"/>
                <w:color w:val="000000"/>
                <w:sz w:val="16"/>
                <w:szCs w:val="16"/>
              </w:rPr>
              <w:t>2029</w:t>
            </w:r>
          </w:p>
        </w:tc>
        <w:tc>
          <w:tcPr>
            <w:tcW w:w="620" w:type="dxa"/>
            <w:gridSpan w:val="2"/>
            <w:shd w:val="clear" w:color="auto" w:fill="FFFFFF"/>
          </w:tcPr>
          <w:p w14:paraId="0DFFA7AC" w14:textId="77777777" w:rsidR="00137409" w:rsidRPr="00D75C41" w:rsidRDefault="00137409" w:rsidP="00180F9D">
            <w:pPr>
              <w:spacing w:line="240" w:lineRule="auto"/>
              <w:jc w:val="center"/>
              <w:rPr>
                <w:rFonts w:ascii="Times New Roman" w:hAnsi="Times New Roman"/>
                <w:color w:val="000000"/>
                <w:sz w:val="16"/>
                <w:szCs w:val="16"/>
              </w:rPr>
            </w:pPr>
            <w:r w:rsidRPr="00D75C41">
              <w:rPr>
                <w:rFonts w:ascii="Times New Roman" w:hAnsi="Times New Roman"/>
                <w:color w:val="000000"/>
                <w:sz w:val="16"/>
                <w:szCs w:val="16"/>
              </w:rPr>
              <w:t>6</w:t>
            </w:r>
          </w:p>
          <w:p w14:paraId="23D0397E" w14:textId="77777777" w:rsidR="00137409" w:rsidRPr="00D75C41" w:rsidRDefault="00137409" w:rsidP="00180F9D">
            <w:pPr>
              <w:spacing w:line="240" w:lineRule="auto"/>
              <w:jc w:val="center"/>
              <w:rPr>
                <w:rFonts w:ascii="Times New Roman" w:hAnsi="Times New Roman"/>
                <w:color w:val="000000"/>
                <w:sz w:val="16"/>
                <w:szCs w:val="16"/>
              </w:rPr>
            </w:pPr>
            <w:r w:rsidRPr="00D75C41">
              <w:rPr>
                <w:rFonts w:ascii="Times New Roman" w:hAnsi="Times New Roman"/>
                <w:color w:val="000000"/>
                <w:sz w:val="16"/>
                <w:szCs w:val="16"/>
              </w:rPr>
              <w:t>2030</w:t>
            </w:r>
          </w:p>
        </w:tc>
        <w:tc>
          <w:tcPr>
            <w:tcW w:w="621" w:type="dxa"/>
            <w:gridSpan w:val="3"/>
            <w:shd w:val="clear" w:color="auto" w:fill="FFFFFF"/>
          </w:tcPr>
          <w:p w14:paraId="063A5F9C" w14:textId="77777777" w:rsidR="00137409" w:rsidRPr="00D75C41" w:rsidRDefault="00137409" w:rsidP="00180F9D">
            <w:pPr>
              <w:spacing w:line="240" w:lineRule="auto"/>
              <w:jc w:val="center"/>
              <w:rPr>
                <w:rFonts w:ascii="Times New Roman" w:hAnsi="Times New Roman"/>
                <w:color w:val="000000"/>
                <w:sz w:val="16"/>
                <w:szCs w:val="16"/>
              </w:rPr>
            </w:pPr>
            <w:r w:rsidRPr="00D75C41">
              <w:rPr>
                <w:rFonts w:ascii="Times New Roman" w:hAnsi="Times New Roman"/>
                <w:color w:val="000000"/>
                <w:sz w:val="16"/>
                <w:szCs w:val="16"/>
              </w:rPr>
              <w:t>7</w:t>
            </w:r>
          </w:p>
          <w:p w14:paraId="08728611" w14:textId="77777777" w:rsidR="00137409" w:rsidRPr="00D75C41" w:rsidRDefault="00137409" w:rsidP="00180F9D">
            <w:pPr>
              <w:spacing w:line="240" w:lineRule="auto"/>
              <w:jc w:val="center"/>
              <w:rPr>
                <w:rFonts w:ascii="Times New Roman" w:hAnsi="Times New Roman"/>
                <w:color w:val="000000"/>
                <w:sz w:val="16"/>
                <w:szCs w:val="16"/>
              </w:rPr>
            </w:pPr>
            <w:r w:rsidRPr="00D75C41">
              <w:rPr>
                <w:rFonts w:ascii="Times New Roman" w:hAnsi="Times New Roman"/>
                <w:color w:val="000000"/>
                <w:sz w:val="16"/>
                <w:szCs w:val="16"/>
              </w:rPr>
              <w:t>2031</w:t>
            </w:r>
          </w:p>
        </w:tc>
        <w:tc>
          <w:tcPr>
            <w:tcW w:w="620" w:type="dxa"/>
            <w:gridSpan w:val="2"/>
            <w:shd w:val="clear" w:color="auto" w:fill="FFFFFF"/>
          </w:tcPr>
          <w:p w14:paraId="2C8DFBF7" w14:textId="77777777" w:rsidR="00137409" w:rsidRPr="00D75C41" w:rsidRDefault="00137409" w:rsidP="00180F9D">
            <w:pPr>
              <w:spacing w:line="240" w:lineRule="auto"/>
              <w:jc w:val="center"/>
              <w:rPr>
                <w:rFonts w:ascii="Times New Roman" w:hAnsi="Times New Roman"/>
                <w:color w:val="000000"/>
                <w:sz w:val="16"/>
                <w:szCs w:val="16"/>
              </w:rPr>
            </w:pPr>
            <w:r w:rsidRPr="00D75C41">
              <w:rPr>
                <w:rFonts w:ascii="Times New Roman" w:hAnsi="Times New Roman"/>
                <w:color w:val="000000"/>
                <w:sz w:val="16"/>
                <w:szCs w:val="16"/>
              </w:rPr>
              <w:t>8</w:t>
            </w:r>
          </w:p>
          <w:p w14:paraId="5E07F8A3" w14:textId="77777777" w:rsidR="00137409" w:rsidRPr="00D75C41" w:rsidRDefault="00137409" w:rsidP="00180F9D">
            <w:pPr>
              <w:spacing w:line="240" w:lineRule="auto"/>
              <w:jc w:val="center"/>
              <w:rPr>
                <w:rFonts w:ascii="Times New Roman" w:hAnsi="Times New Roman"/>
                <w:color w:val="000000"/>
                <w:sz w:val="16"/>
                <w:szCs w:val="16"/>
              </w:rPr>
            </w:pPr>
            <w:r w:rsidRPr="00D75C41">
              <w:rPr>
                <w:rFonts w:ascii="Times New Roman" w:hAnsi="Times New Roman"/>
                <w:color w:val="000000"/>
                <w:sz w:val="16"/>
                <w:szCs w:val="16"/>
              </w:rPr>
              <w:t>2032</w:t>
            </w:r>
          </w:p>
        </w:tc>
        <w:tc>
          <w:tcPr>
            <w:tcW w:w="621" w:type="dxa"/>
            <w:shd w:val="clear" w:color="auto" w:fill="FFFFFF"/>
          </w:tcPr>
          <w:p w14:paraId="72DA711C" w14:textId="77777777" w:rsidR="00137409" w:rsidRPr="00D75C41" w:rsidRDefault="00137409" w:rsidP="00180F9D">
            <w:pPr>
              <w:spacing w:line="240" w:lineRule="auto"/>
              <w:jc w:val="center"/>
              <w:rPr>
                <w:rFonts w:ascii="Times New Roman" w:hAnsi="Times New Roman"/>
                <w:color w:val="000000"/>
                <w:sz w:val="16"/>
                <w:szCs w:val="16"/>
              </w:rPr>
            </w:pPr>
            <w:r w:rsidRPr="00D75C41">
              <w:rPr>
                <w:rFonts w:ascii="Times New Roman" w:hAnsi="Times New Roman"/>
                <w:color w:val="000000"/>
                <w:sz w:val="16"/>
                <w:szCs w:val="16"/>
              </w:rPr>
              <w:t>9</w:t>
            </w:r>
          </w:p>
          <w:p w14:paraId="41322E97" w14:textId="77777777" w:rsidR="00137409" w:rsidRPr="00D75C41" w:rsidRDefault="00137409" w:rsidP="00180F9D">
            <w:pPr>
              <w:spacing w:line="240" w:lineRule="auto"/>
              <w:jc w:val="center"/>
              <w:rPr>
                <w:rFonts w:ascii="Times New Roman" w:hAnsi="Times New Roman"/>
                <w:color w:val="000000"/>
                <w:sz w:val="16"/>
                <w:szCs w:val="16"/>
              </w:rPr>
            </w:pPr>
            <w:r w:rsidRPr="00D75C41">
              <w:rPr>
                <w:rFonts w:ascii="Times New Roman" w:hAnsi="Times New Roman"/>
                <w:color w:val="000000"/>
                <w:sz w:val="16"/>
                <w:szCs w:val="16"/>
              </w:rPr>
              <w:t>2033</w:t>
            </w:r>
          </w:p>
        </w:tc>
        <w:tc>
          <w:tcPr>
            <w:tcW w:w="621" w:type="dxa"/>
            <w:gridSpan w:val="2"/>
            <w:shd w:val="clear" w:color="auto" w:fill="FFFFFF"/>
          </w:tcPr>
          <w:p w14:paraId="3D323497" w14:textId="77777777" w:rsidR="00137409" w:rsidRPr="00D75C41" w:rsidRDefault="00137409" w:rsidP="00180F9D">
            <w:pPr>
              <w:spacing w:line="240" w:lineRule="auto"/>
              <w:jc w:val="center"/>
              <w:rPr>
                <w:rFonts w:ascii="Times New Roman" w:hAnsi="Times New Roman"/>
                <w:color w:val="000000"/>
                <w:sz w:val="16"/>
                <w:szCs w:val="16"/>
              </w:rPr>
            </w:pPr>
            <w:r w:rsidRPr="00D75C41">
              <w:rPr>
                <w:rFonts w:ascii="Times New Roman" w:hAnsi="Times New Roman"/>
                <w:color w:val="000000"/>
                <w:sz w:val="16"/>
                <w:szCs w:val="16"/>
              </w:rPr>
              <w:t>10</w:t>
            </w:r>
          </w:p>
          <w:p w14:paraId="4A18679C" w14:textId="77777777" w:rsidR="00137409" w:rsidRPr="00D75C41" w:rsidRDefault="00137409" w:rsidP="00180F9D">
            <w:pPr>
              <w:spacing w:line="240" w:lineRule="auto"/>
              <w:jc w:val="center"/>
              <w:rPr>
                <w:rFonts w:ascii="Times New Roman" w:hAnsi="Times New Roman"/>
                <w:color w:val="000000"/>
                <w:sz w:val="16"/>
                <w:szCs w:val="16"/>
              </w:rPr>
            </w:pPr>
            <w:r w:rsidRPr="00D75C41">
              <w:rPr>
                <w:rFonts w:ascii="Times New Roman" w:hAnsi="Times New Roman"/>
                <w:color w:val="000000"/>
                <w:sz w:val="16"/>
                <w:szCs w:val="16"/>
              </w:rPr>
              <w:t>2034</w:t>
            </w:r>
          </w:p>
        </w:tc>
        <w:tc>
          <w:tcPr>
            <w:tcW w:w="985" w:type="dxa"/>
            <w:shd w:val="clear" w:color="auto" w:fill="FFFFFF"/>
          </w:tcPr>
          <w:p w14:paraId="254BB4F3" w14:textId="77777777" w:rsidR="00137409" w:rsidRPr="007002D7" w:rsidRDefault="00137409" w:rsidP="00180F9D">
            <w:pPr>
              <w:spacing w:before="40" w:after="40" w:line="240" w:lineRule="auto"/>
              <w:jc w:val="center"/>
              <w:rPr>
                <w:rFonts w:ascii="Times New Roman" w:hAnsi="Times New Roman"/>
                <w:i/>
                <w:color w:val="000000"/>
                <w:spacing w:val="-2"/>
                <w:sz w:val="16"/>
                <w:szCs w:val="16"/>
              </w:rPr>
            </w:pPr>
            <w:r w:rsidRPr="007002D7">
              <w:rPr>
                <w:rFonts w:ascii="Times New Roman" w:hAnsi="Times New Roman"/>
                <w:i/>
                <w:color w:val="000000"/>
                <w:spacing w:val="-2"/>
                <w:sz w:val="16"/>
                <w:szCs w:val="16"/>
              </w:rPr>
              <w:t>Łącznie (0-10)</w:t>
            </w:r>
          </w:p>
        </w:tc>
      </w:tr>
      <w:tr w:rsidR="002B2290" w:rsidRPr="0066079A" w14:paraId="3B7D8BA8" w14:textId="77777777" w:rsidTr="00C0085E">
        <w:trPr>
          <w:trHeight w:val="321"/>
        </w:trPr>
        <w:tc>
          <w:tcPr>
            <w:tcW w:w="3126" w:type="dxa"/>
            <w:gridSpan w:val="4"/>
            <w:shd w:val="clear" w:color="auto" w:fill="FFFFFF"/>
            <w:vAlign w:val="center"/>
          </w:tcPr>
          <w:p w14:paraId="3FD16D35" w14:textId="77777777"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b/>
                <w:color w:val="000000"/>
                <w:sz w:val="21"/>
                <w:szCs w:val="21"/>
              </w:rPr>
              <w:t>Dochody ogółem</w:t>
            </w:r>
          </w:p>
        </w:tc>
        <w:tc>
          <w:tcPr>
            <w:tcW w:w="620" w:type="dxa"/>
            <w:gridSpan w:val="2"/>
            <w:shd w:val="clear" w:color="auto" w:fill="FFFFFF"/>
          </w:tcPr>
          <w:p w14:paraId="605758ED" w14:textId="77777777" w:rsidR="00137409" w:rsidRPr="007002D7" w:rsidRDefault="00137409" w:rsidP="00180F9D">
            <w:pPr>
              <w:spacing w:line="240" w:lineRule="auto"/>
              <w:rPr>
                <w:rFonts w:ascii="Times New Roman" w:hAnsi="Times New Roman"/>
                <w:color w:val="000000"/>
                <w:sz w:val="16"/>
                <w:szCs w:val="16"/>
              </w:rPr>
            </w:pPr>
            <w:r w:rsidRPr="007002D7">
              <w:rPr>
                <w:rFonts w:ascii="Times New Roman" w:hAnsi="Times New Roman"/>
                <w:color w:val="000000"/>
                <w:sz w:val="16"/>
                <w:szCs w:val="16"/>
              </w:rPr>
              <w:t>0</w:t>
            </w:r>
          </w:p>
        </w:tc>
        <w:tc>
          <w:tcPr>
            <w:tcW w:w="621" w:type="dxa"/>
            <w:gridSpan w:val="2"/>
            <w:shd w:val="clear" w:color="auto" w:fill="FFFFFF"/>
          </w:tcPr>
          <w:p w14:paraId="11FB71AA" w14:textId="77777777" w:rsidR="00137409" w:rsidRPr="007002D7" w:rsidRDefault="00137409" w:rsidP="00180F9D">
            <w:pPr>
              <w:spacing w:line="240" w:lineRule="auto"/>
              <w:rPr>
                <w:rFonts w:ascii="Times New Roman" w:hAnsi="Times New Roman"/>
                <w:color w:val="000000"/>
                <w:sz w:val="16"/>
                <w:szCs w:val="16"/>
              </w:rPr>
            </w:pPr>
            <w:r w:rsidRPr="007002D7">
              <w:rPr>
                <w:rFonts w:ascii="Times New Roman" w:hAnsi="Times New Roman"/>
                <w:color w:val="000000"/>
                <w:sz w:val="16"/>
                <w:szCs w:val="16"/>
              </w:rPr>
              <w:t>0</w:t>
            </w:r>
          </w:p>
        </w:tc>
        <w:tc>
          <w:tcPr>
            <w:tcW w:w="620" w:type="dxa"/>
            <w:gridSpan w:val="3"/>
            <w:shd w:val="clear" w:color="auto" w:fill="FFFFFF"/>
          </w:tcPr>
          <w:p w14:paraId="76443A01" w14:textId="77777777" w:rsidR="00137409" w:rsidRPr="007002D7" w:rsidRDefault="00137409" w:rsidP="00180F9D">
            <w:pPr>
              <w:spacing w:line="240" w:lineRule="auto"/>
              <w:rPr>
                <w:rFonts w:ascii="Times New Roman" w:hAnsi="Times New Roman"/>
                <w:color w:val="000000"/>
                <w:sz w:val="16"/>
                <w:szCs w:val="16"/>
              </w:rPr>
            </w:pPr>
            <w:r w:rsidRPr="007002D7">
              <w:rPr>
                <w:rFonts w:ascii="Times New Roman" w:hAnsi="Times New Roman"/>
                <w:color w:val="000000"/>
                <w:sz w:val="16"/>
                <w:szCs w:val="16"/>
              </w:rPr>
              <w:t>0</w:t>
            </w:r>
          </w:p>
        </w:tc>
        <w:tc>
          <w:tcPr>
            <w:tcW w:w="621" w:type="dxa"/>
            <w:gridSpan w:val="2"/>
            <w:shd w:val="clear" w:color="auto" w:fill="FFFFFF"/>
          </w:tcPr>
          <w:p w14:paraId="327241DC" w14:textId="77777777" w:rsidR="00137409" w:rsidRPr="007002D7" w:rsidRDefault="00137409" w:rsidP="00180F9D">
            <w:pPr>
              <w:spacing w:line="240" w:lineRule="auto"/>
              <w:rPr>
                <w:rFonts w:ascii="Times New Roman" w:hAnsi="Times New Roman"/>
                <w:color w:val="000000"/>
                <w:sz w:val="16"/>
                <w:szCs w:val="16"/>
              </w:rPr>
            </w:pPr>
            <w:r w:rsidRPr="007002D7">
              <w:rPr>
                <w:rFonts w:ascii="Times New Roman" w:hAnsi="Times New Roman"/>
                <w:color w:val="000000"/>
                <w:sz w:val="16"/>
                <w:szCs w:val="16"/>
              </w:rPr>
              <w:t>0</w:t>
            </w:r>
          </w:p>
        </w:tc>
        <w:tc>
          <w:tcPr>
            <w:tcW w:w="620" w:type="dxa"/>
            <w:gridSpan w:val="2"/>
            <w:shd w:val="clear" w:color="auto" w:fill="FFFFFF"/>
          </w:tcPr>
          <w:p w14:paraId="64555462" w14:textId="77777777" w:rsidR="00137409" w:rsidRPr="007002D7" w:rsidRDefault="00137409" w:rsidP="00180F9D">
            <w:pPr>
              <w:spacing w:line="240" w:lineRule="auto"/>
              <w:rPr>
                <w:rFonts w:ascii="Times New Roman" w:hAnsi="Times New Roman"/>
                <w:color w:val="000000"/>
                <w:sz w:val="16"/>
                <w:szCs w:val="16"/>
              </w:rPr>
            </w:pPr>
            <w:r w:rsidRPr="007002D7">
              <w:rPr>
                <w:rFonts w:ascii="Times New Roman" w:hAnsi="Times New Roman"/>
                <w:color w:val="000000"/>
                <w:sz w:val="16"/>
                <w:szCs w:val="16"/>
              </w:rPr>
              <w:t>0</w:t>
            </w:r>
          </w:p>
        </w:tc>
        <w:tc>
          <w:tcPr>
            <w:tcW w:w="621" w:type="dxa"/>
            <w:gridSpan w:val="3"/>
            <w:shd w:val="clear" w:color="auto" w:fill="FFFFFF"/>
          </w:tcPr>
          <w:p w14:paraId="38932E09" w14:textId="77777777" w:rsidR="00137409" w:rsidRPr="007002D7" w:rsidRDefault="00137409" w:rsidP="00180F9D">
            <w:pPr>
              <w:spacing w:line="240" w:lineRule="auto"/>
              <w:rPr>
                <w:rFonts w:ascii="Times New Roman" w:hAnsi="Times New Roman"/>
                <w:color w:val="000000"/>
                <w:sz w:val="16"/>
                <w:szCs w:val="16"/>
              </w:rPr>
            </w:pPr>
            <w:r w:rsidRPr="007002D7">
              <w:rPr>
                <w:rFonts w:ascii="Times New Roman" w:hAnsi="Times New Roman"/>
                <w:color w:val="000000"/>
                <w:sz w:val="16"/>
                <w:szCs w:val="16"/>
              </w:rPr>
              <w:t>0</w:t>
            </w:r>
          </w:p>
        </w:tc>
        <w:tc>
          <w:tcPr>
            <w:tcW w:w="620" w:type="dxa"/>
            <w:gridSpan w:val="2"/>
            <w:shd w:val="clear" w:color="auto" w:fill="FFFFFF"/>
          </w:tcPr>
          <w:p w14:paraId="0159E178" w14:textId="77777777" w:rsidR="00137409" w:rsidRPr="007002D7" w:rsidRDefault="00137409" w:rsidP="00180F9D">
            <w:pPr>
              <w:spacing w:line="240" w:lineRule="auto"/>
              <w:rPr>
                <w:rFonts w:ascii="Times New Roman" w:hAnsi="Times New Roman"/>
                <w:color w:val="000000"/>
                <w:sz w:val="16"/>
                <w:szCs w:val="16"/>
              </w:rPr>
            </w:pPr>
            <w:r w:rsidRPr="007002D7">
              <w:rPr>
                <w:rFonts w:ascii="Times New Roman" w:hAnsi="Times New Roman"/>
                <w:color w:val="000000"/>
                <w:sz w:val="16"/>
                <w:szCs w:val="16"/>
              </w:rPr>
              <w:t>0</w:t>
            </w:r>
          </w:p>
        </w:tc>
        <w:tc>
          <w:tcPr>
            <w:tcW w:w="621" w:type="dxa"/>
            <w:gridSpan w:val="3"/>
            <w:shd w:val="clear" w:color="auto" w:fill="FFFFFF"/>
          </w:tcPr>
          <w:p w14:paraId="702B7608" w14:textId="77777777" w:rsidR="00137409" w:rsidRPr="007002D7" w:rsidRDefault="00137409" w:rsidP="00180F9D">
            <w:pPr>
              <w:spacing w:line="240" w:lineRule="auto"/>
              <w:rPr>
                <w:rFonts w:ascii="Times New Roman" w:hAnsi="Times New Roman"/>
                <w:color w:val="000000"/>
                <w:sz w:val="16"/>
                <w:szCs w:val="16"/>
              </w:rPr>
            </w:pPr>
            <w:r w:rsidRPr="007002D7">
              <w:rPr>
                <w:rFonts w:ascii="Times New Roman" w:hAnsi="Times New Roman"/>
                <w:color w:val="000000"/>
                <w:sz w:val="16"/>
                <w:szCs w:val="16"/>
              </w:rPr>
              <w:t>0</w:t>
            </w:r>
          </w:p>
        </w:tc>
        <w:tc>
          <w:tcPr>
            <w:tcW w:w="620" w:type="dxa"/>
            <w:gridSpan w:val="2"/>
            <w:shd w:val="clear" w:color="auto" w:fill="FFFFFF"/>
          </w:tcPr>
          <w:p w14:paraId="4E5C0F03" w14:textId="77777777" w:rsidR="00137409" w:rsidRPr="007002D7" w:rsidRDefault="00137409" w:rsidP="00180F9D">
            <w:pPr>
              <w:spacing w:line="240" w:lineRule="auto"/>
              <w:rPr>
                <w:rFonts w:ascii="Times New Roman" w:hAnsi="Times New Roman"/>
                <w:color w:val="000000"/>
                <w:sz w:val="16"/>
                <w:szCs w:val="16"/>
              </w:rPr>
            </w:pPr>
            <w:r w:rsidRPr="007002D7">
              <w:rPr>
                <w:rFonts w:ascii="Times New Roman" w:hAnsi="Times New Roman"/>
                <w:color w:val="000000"/>
                <w:sz w:val="16"/>
                <w:szCs w:val="16"/>
              </w:rPr>
              <w:t>0</w:t>
            </w:r>
          </w:p>
        </w:tc>
        <w:tc>
          <w:tcPr>
            <w:tcW w:w="621" w:type="dxa"/>
            <w:shd w:val="clear" w:color="auto" w:fill="FFFFFF"/>
          </w:tcPr>
          <w:p w14:paraId="3CB8C014" w14:textId="77777777" w:rsidR="00137409" w:rsidRPr="007002D7" w:rsidRDefault="00137409" w:rsidP="00180F9D">
            <w:pPr>
              <w:spacing w:line="240" w:lineRule="auto"/>
              <w:rPr>
                <w:rFonts w:ascii="Times New Roman" w:hAnsi="Times New Roman"/>
                <w:color w:val="000000"/>
                <w:sz w:val="16"/>
                <w:szCs w:val="16"/>
              </w:rPr>
            </w:pPr>
            <w:r w:rsidRPr="007002D7">
              <w:rPr>
                <w:rFonts w:ascii="Times New Roman" w:hAnsi="Times New Roman"/>
                <w:color w:val="000000"/>
                <w:sz w:val="16"/>
                <w:szCs w:val="16"/>
              </w:rPr>
              <w:t>0</w:t>
            </w:r>
          </w:p>
        </w:tc>
        <w:tc>
          <w:tcPr>
            <w:tcW w:w="621" w:type="dxa"/>
            <w:gridSpan w:val="2"/>
            <w:shd w:val="clear" w:color="auto" w:fill="FFFFFF"/>
          </w:tcPr>
          <w:p w14:paraId="16AD9EE1" w14:textId="77777777" w:rsidR="00137409" w:rsidRPr="007002D7" w:rsidRDefault="00137409" w:rsidP="00180F9D">
            <w:pPr>
              <w:spacing w:line="240" w:lineRule="auto"/>
              <w:rPr>
                <w:rFonts w:ascii="Times New Roman" w:hAnsi="Times New Roman"/>
                <w:color w:val="000000"/>
                <w:sz w:val="16"/>
                <w:szCs w:val="16"/>
              </w:rPr>
            </w:pPr>
            <w:r w:rsidRPr="007002D7">
              <w:rPr>
                <w:rFonts w:ascii="Times New Roman" w:hAnsi="Times New Roman"/>
                <w:color w:val="000000"/>
                <w:sz w:val="16"/>
                <w:szCs w:val="16"/>
              </w:rPr>
              <w:t>0</w:t>
            </w:r>
          </w:p>
        </w:tc>
        <w:tc>
          <w:tcPr>
            <w:tcW w:w="998" w:type="dxa"/>
            <w:gridSpan w:val="2"/>
            <w:shd w:val="clear" w:color="auto" w:fill="FFFFFF"/>
          </w:tcPr>
          <w:p w14:paraId="1DB4C886" w14:textId="77777777" w:rsidR="00137409" w:rsidRPr="007002D7" w:rsidRDefault="00137409" w:rsidP="00180F9D">
            <w:pPr>
              <w:spacing w:line="240" w:lineRule="auto"/>
              <w:rPr>
                <w:rFonts w:ascii="Times New Roman" w:hAnsi="Times New Roman"/>
                <w:color w:val="000000"/>
                <w:spacing w:val="-2"/>
                <w:sz w:val="16"/>
                <w:szCs w:val="16"/>
              </w:rPr>
            </w:pPr>
            <w:r w:rsidRPr="007002D7">
              <w:rPr>
                <w:rFonts w:ascii="Times New Roman" w:hAnsi="Times New Roman"/>
                <w:color w:val="000000"/>
                <w:spacing w:val="-2"/>
                <w:sz w:val="16"/>
                <w:szCs w:val="16"/>
              </w:rPr>
              <w:t>0</w:t>
            </w:r>
          </w:p>
        </w:tc>
      </w:tr>
      <w:tr w:rsidR="002B2290" w:rsidRPr="0066079A" w14:paraId="71E3E26B" w14:textId="77777777" w:rsidTr="00C0085E">
        <w:trPr>
          <w:trHeight w:val="321"/>
        </w:trPr>
        <w:tc>
          <w:tcPr>
            <w:tcW w:w="3126" w:type="dxa"/>
            <w:gridSpan w:val="4"/>
            <w:shd w:val="clear" w:color="auto" w:fill="FFFFFF"/>
            <w:vAlign w:val="center"/>
          </w:tcPr>
          <w:p w14:paraId="5A6370BD" w14:textId="77777777"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t>budżet państwa</w:t>
            </w:r>
          </w:p>
        </w:tc>
        <w:tc>
          <w:tcPr>
            <w:tcW w:w="620" w:type="dxa"/>
            <w:gridSpan w:val="2"/>
            <w:shd w:val="clear" w:color="auto" w:fill="FFFFFF"/>
          </w:tcPr>
          <w:p w14:paraId="33E8F228" w14:textId="77777777" w:rsidR="00137409" w:rsidRPr="007002D7" w:rsidRDefault="00137409" w:rsidP="00180F9D">
            <w:pPr>
              <w:spacing w:line="240" w:lineRule="auto"/>
              <w:rPr>
                <w:rFonts w:ascii="Times New Roman" w:hAnsi="Times New Roman"/>
                <w:color w:val="000000"/>
                <w:sz w:val="16"/>
                <w:szCs w:val="16"/>
              </w:rPr>
            </w:pPr>
          </w:p>
        </w:tc>
        <w:tc>
          <w:tcPr>
            <w:tcW w:w="621" w:type="dxa"/>
            <w:gridSpan w:val="2"/>
            <w:shd w:val="clear" w:color="auto" w:fill="FFFFFF"/>
          </w:tcPr>
          <w:p w14:paraId="0A9EA6CD" w14:textId="77777777" w:rsidR="00137409" w:rsidRPr="007002D7" w:rsidRDefault="00137409" w:rsidP="00180F9D">
            <w:pPr>
              <w:spacing w:line="240" w:lineRule="auto"/>
              <w:rPr>
                <w:rFonts w:ascii="Times New Roman" w:hAnsi="Times New Roman"/>
                <w:color w:val="000000"/>
                <w:sz w:val="16"/>
                <w:szCs w:val="16"/>
              </w:rPr>
            </w:pPr>
          </w:p>
        </w:tc>
        <w:tc>
          <w:tcPr>
            <w:tcW w:w="620" w:type="dxa"/>
            <w:gridSpan w:val="3"/>
            <w:shd w:val="clear" w:color="auto" w:fill="FFFFFF"/>
          </w:tcPr>
          <w:p w14:paraId="0371B7C8" w14:textId="77777777" w:rsidR="00137409" w:rsidRPr="007002D7" w:rsidRDefault="00137409" w:rsidP="00180F9D">
            <w:pPr>
              <w:spacing w:line="240" w:lineRule="auto"/>
              <w:rPr>
                <w:rFonts w:ascii="Times New Roman" w:hAnsi="Times New Roman"/>
                <w:color w:val="000000"/>
                <w:sz w:val="16"/>
                <w:szCs w:val="16"/>
              </w:rPr>
            </w:pPr>
          </w:p>
        </w:tc>
        <w:tc>
          <w:tcPr>
            <w:tcW w:w="621" w:type="dxa"/>
            <w:gridSpan w:val="2"/>
            <w:shd w:val="clear" w:color="auto" w:fill="FFFFFF"/>
          </w:tcPr>
          <w:p w14:paraId="3CA414B3" w14:textId="77777777" w:rsidR="00137409" w:rsidRPr="007002D7" w:rsidRDefault="00137409" w:rsidP="00180F9D">
            <w:pPr>
              <w:spacing w:line="240" w:lineRule="auto"/>
              <w:rPr>
                <w:rFonts w:ascii="Times New Roman" w:hAnsi="Times New Roman"/>
                <w:color w:val="000000"/>
                <w:sz w:val="16"/>
                <w:szCs w:val="16"/>
              </w:rPr>
            </w:pPr>
          </w:p>
        </w:tc>
        <w:tc>
          <w:tcPr>
            <w:tcW w:w="620" w:type="dxa"/>
            <w:gridSpan w:val="2"/>
            <w:shd w:val="clear" w:color="auto" w:fill="FFFFFF"/>
          </w:tcPr>
          <w:p w14:paraId="7DBAF4D6" w14:textId="77777777" w:rsidR="00137409" w:rsidRPr="007002D7" w:rsidRDefault="00137409" w:rsidP="00180F9D">
            <w:pPr>
              <w:spacing w:line="240" w:lineRule="auto"/>
              <w:rPr>
                <w:rFonts w:ascii="Times New Roman" w:hAnsi="Times New Roman"/>
                <w:color w:val="000000"/>
                <w:sz w:val="16"/>
                <w:szCs w:val="16"/>
              </w:rPr>
            </w:pPr>
          </w:p>
        </w:tc>
        <w:tc>
          <w:tcPr>
            <w:tcW w:w="621" w:type="dxa"/>
            <w:gridSpan w:val="3"/>
            <w:shd w:val="clear" w:color="auto" w:fill="FFFFFF"/>
          </w:tcPr>
          <w:p w14:paraId="084F9F78" w14:textId="77777777" w:rsidR="00137409" w:rsidRPr="007002D7" w:rsidRDefault="00137409" w:rsidP="00180F9D">
            <w:pPr>
              <w:spacing w:line="240" w:lineRule="auto"/>
              <w:rPr>
                <w:rFonts w:ascii="Times New Roman" w:hAnsi="Times New Roman"/>
                <w:color w:val="000000"/>
                <w:sz w:val="16"/>
                <w:szCs w:val="16"/>
              </w:rPr>
            </w:pPr>
          </w:p>
        </w:tc>
        <w:tc>
          <w:tcPr>
            <w:tcW w:w="620" w:type="dxa"/>
            <w:gridSpan w:val="2"/>
            <w:shd w:val="clear" w:color="auto" w:fill="FFFFFF"/>
          </w:tcPr>
          <w:p w14:paraId="71A57D75" w14:textId="77777777" w:rsidR="00137409" w:rsidRPr="007002D7" w:rsidRDefault="00137409" w:rsidP="00180F9D">
            <w:pPr>
              <w:spacing w:line="240" w:lineRule="auto"/>
              <w:rPr>
                <w:rFonts w:ascii="Times New Roman" w:hAnsi="Times New Roman"/>
                <w:color w:val="000000"/>
                <w:sz w:val="16"/>
                <w:szCs w:val="16"/>
              </w:rPr>
            </w:pPr>
          </w:p>
        </w:tc>
        <w:tc>
          <w:tcPr>
            <w:tcW w:w="621" w:type="dxa"/>
            <w:gridSpan w:val="3"/>
            <w:shd w:val="clear" w:color="auto" w:fill="FFFFFF"/>
          </w:tcPr>
          <w:p w14:paraId="74CADA8D" w14:textId="77777777" w:rsidR="00137409" w:rsidRPr="007002D7" w:rsidRDefault="00137409" w:rsidP="00180F9D">
            <w:pPr>
              <w:spacing w:line="240" w:lineRule="auto"/>
              <w:rPr>
                <w:rFonts w:ascii="Times New Roman" w:hAnsi="Times New Roman"/>
                <w:color w:val="000000"/>
                <w:sz w:val="16"/>
                <w:szCs w:val="16"/>
              </w:rPr>
            </w:pPr>
          </w:p>
        </w:tc>
        <w:tc>
          <w:tcPr>
            <w:tcW w:w="620" w:type="dxa"/>
            <w:gridSpan w:val="2"/>
            <w:shd w:val="clear" w:color="auto" w:fill="FFFFFF"/>
          </w:tcPr>
          <w:p w14:paraId="252F468A" w14:textId="77777777" w:rsidR="00137409" w:rsidRPr="007002D7" w:rsidRDefault="00137409" w:rsidP="00180F9D">
            <w:pPr>
              <w:spacing w:line="240" w:lineRule="auto"/>
              <w:rPr>
                <w:rFonts w:ascii="Times New Roman" w:hAnsi="Times New Roman"/>
                <w:color w:val="000000"/>
                <w:sz w:val="16"/>
                <w:szCs w:val="16"/>
              </w:rPr>
            </w:pPr>
          </w:p>
        </w:tc>
        <w:tc>
          <w:tcPr>
            <w:tcW w:w="621" w:type="dxa"/>
            <w:shd w:val="clear" w:color="auto" w:fill="FFFFFF"/>
          </w:tcPr>
          <w:p w14:paraId="21B1E497" w14:textId="77777777" w:rsidR="00137409" w:rsidRPr="007002D7" w:rsidRDefault="00137409" w:rsidP="00180F9D">
            <w:pPr>
              <w:spacing w:line="240" w:lineRule="auto"/>
              <w:rPr>
                <w:rFonts w:ascii="Times New Roman" w:hAnsi="Times New Roman"/>
                <w:color w:val="000000"/>
                <w:sz w:val="16"/>
                <w:szCs w:val="16"/>
              </w:rPr>
            </w:pPr>
          </w:p>
        </w:tc>
        <w:tc>
          <w:tcPr>
            <w:tcW w:w="621" w:type="dxa"/>
            <w:gridSpan w:val="2"/>
            <w:shd w:val="clear" w:color="auto" w:fill="FFFFFF"/>
          </w:tcPr>
          <w:p w14:paraId="409B4122" w14:textId="77777777" w:rsidR="00137409" w:rsidRPr="007002D7" w:rsidRDefault="00137409" w:rsidP="00180F9D">
            <w:pPr>
              <w:spacing w:line="240" w:lineRule="auto"/>
              <w:rPr>
                <w:rFonts w:ascii="Times New Roman" w:hAnsi="Times New Roman"/>
                <w:color w:val="000000"/>
                <w:sz w:val="16"/>
                <w:szCs w:val="16"/>
              </w:rPr>
            </w:pPr>
          </w:p>
        </w:tc>
        <w:tc>
          <w:tcPr>
            <w:tcW w:w="998" w:type="dxa"/>
            <w:gridSpan w:val="2"/>
            <w:shd w:val="clear" w:color="auto" w:fill="FFFFFF"/>
          </w:tcPr>
          <w:p w14:paraId="1F1E8BBF" w14:textId="77777777" w:rsidR="00137409" w:rsidRPr="007002D7" w:rsidRDefault="00137409" w:rsidP="00180F9D">
            <w:pPr>
              <w:spacing w:line="240" w:lineRule="auto"/>
              <w:rPr>
                <w:rFonts w:ascii="Times New Roman" w:hAnsi="Times New Roman"/>
                <w:color w:val="000000"/>
                <w:spacing w:val="-2"/>
                <w:sz w:val="16"/>
                <w:szCs w:val="16"/>
              </w:rPr>
            </w:pPr>
          </w:p>
        </w:tc>
      </w:tr>
      <w:tr w:rsidR="002B2290" w:rsidRPr="0066079A" w14:paraId="58EEF216" w14:textId="77777777" w:rsidTr="00C0085E">
        <w:trPr>
          <w:trHeight w:val="344"/>
        </w:trPr>
        <w:tc>
          <w:tcPr>
            <w:tcW w:w="3126" w:type="dxa"/>
            <w:gridSpan w:val="4"/>
            <w:shd w:val="clear" w:color="auto" w:fill="FFFFFF"/>
            <w:vAlign w:val="center"/>
          </w:tcPr>
          <w:p w14:paraId="4E722060" w14:textId="77777777"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t>JST</w:t>
            </w:r>
          </w:p>
        </w:tc>
        <w:tc>
          <w:tcPr>
            <w:tcW w:w="620" w:type="dxa"/>
            <w:gridSpan w:val="2"/>
            <w:shd w:val="clear" w:color="auto" w:fill="FFFFFF"/>
          </w:tcPr>
          <w:p w14:paraId="0B50E64F" w14:textId="2F4FC0EC" w:rsidR="00137409" w:rsidRPr="007002D7" w:rsidRDefault="00137409" w:rsidP="00180F9D">
            <w:pPr>
              <w:spacing w:line="240" w:lineRule="auto"/>
              <w:rPr>
                <w:rFonts w:ascii="Times New Roman" w:hAnsi="Times New Roman"/>
                <w:color w:val="000000"/>
                <w:sz w:val="16"/>
                <w:szCs w:val="16"/>
              </w:rPr>
            </w:pPr>
          </w:p>
        </w:tc>
        <w:tc>
          <w:tcPr>
            <w:tcW w:w="621" w:type="dxa"/>
            <w:gridSpan w:val="2"/>
            <w:shd w:val="clear" w:color="auto" w:fill="FFFFFF"/>
          </w:tcPr>
          <w:p w14:paraId="39A01999" w14:textId="21A8E73E" w:rsidR="00137409" w:rsidRPr="007002D7" w:rsidRDefault="00137409" w:rsidP="00180F9D">
            <w:pPr>
              <w:spacing w:line="240" w:lineRule="auto"/>
              <w:rPr>
                <w:rFonts w:ascii="Times New Roman" w:hAnsi="Times New Roman"/>
                <w:color w:val="000000"/>
                <w:sz w:val="16"/>
                <w:szCs w:val="16"/>
              </w:rPr>
            </w:pPr>
          </w:p>
        </w:tc>
        <w:tc>
          <w:tcPr>
            <w:tcW w:w="620" w:type="dxa"/>
            <w:gridSpan w:val="3"/>
            <w:shd w:val="clear" w:color="auto" w:fill="FFFFFF"/>
          </w:tcPr>
          <w:p w14:paraId="4E02E590" w14:textId="77777777" w:rsidR="00137409" w:rsidRPr="007002D7" w:rsidRDefault="00137409" w:rsidP="00180F9D">
            <w:pPr>
              <w:spacing w:line="240" w:lineRule="auto"/>
              <w:rPr>
                <w:rFonts w:ascii="Times New Roman" w:hAnsi="Times New Roman"/>
                <w:color w:val="000000"/>
                <w:sz w:val="16"/>
                <w:szCs w:val="16"/>
              </w:rPr>
            </w:pPr>
          </w:p>
        </w:tc>
        <w:tc>
          <w:tcPr>
            <w:tcW w:w="621" w:type="dxa"/>
            <w:gridSpan w:val="2"/>
            <w:shd w:val="clear" w:color="auto" w:fill="FFFFFF"/>
          </w:tcPr>
          <w:p w14:paraId="602D9D20" w14:textId="77777777" w:rsidR="00137409" w:rsidRPr="007002D7" w:rsidRDefault="00137409" w:rsidP="00180F9D">
            <w:pPr>
              <w:spacing w:line="240" w:lineRule="auto"/>
              <w:rPr>
                <w:rFonts w:ascii="Times New Roman" w:hAnsi="Times New Roman"/>
                <w:color w:val="000000"/>
                <w:sz w:val="16"/>
                <w:szCs w:val="16"/>
              </w:rPr>
            </w:pPr>
          </w:p>
        </w:tc>
        <w:tc>
          <w:tcPr>
            <w:tcW w:w="620" w:type="dxa"/>
            <w:gridSpan w:val="2"/>
            <w:shd w:val="clear" w:color="auto" w:fill="FFFFFF"/>
          </w:tcPr>
          <w:p w14:paraId="50F1D055" w14:textId="77777777" w:rsidR="00137409" w:rsidRPr="007002D7" w:rsidRDefault="00137409" w:rsidP="00180F9D">
            <w:pPr>
              <w:spacing w:line="240" w:lineRule="auto"/>
              <w:rPr>
                <w:rFonts w:ascii="Times New Roman" w:hAnsi="Times New Roman"/>
                <w:color w:val="000000"/>
                <w:sz w:val="16"/>
                <w:szCs w:val="16"/>
              </w:rPr>
            </w:pPr>
          </w:p>
        </w:tc>
        <w:tc>
          <w:tcPr>
            <w:tcW w:w="621" w:type="dxa"/>
            <w:gridSpan w:val="3"/>
            <w:shd w:val="clear" w:color="auto" w:fill="FFFFFF"/>
          </w:tcPr>
          <w:p w14:paraId="67D22272" w14:textId="77777777" w:rsidR="00137409" w:rsidRPr="007002D7" w:rsidRDefault="00137409" w:rsidP="00180F9D">
            <w:pPr>
              <w:spacing w:line="240" w:lineRule="auto"/>
              <w:rPr>
                <w:rFonts w:ascii="Times New Roman" w:hAnsi="Times New Roman"/>
                <w:color w:val="000000"/>
                <w:sz w:val="16"/>
                <w:szCs w:val="16"/>
              </w:rPr>
            </w:pPr>
          </w:p>
        </w:tc>
        <w:tc>
          <w:tcPr>
            <w:tcW w:w="620" w:type="dxa"/>
            <w:gridSpan w:val="2"/>
            <w:shd w:val="clear" w:color="auto" w:fill="FFFFFF"/>
          </w:tcPr>
          <w:p w14:paraId="038059E4" w14:textId="77777777" w:rsidR="00137409" w:rsidRPr="007002D7" w:rsidRDefault="00137409" w:rsidP="00180F9D">
            <w:pPr>
              <w:spacing w:line="240" w:lineRule="auto"/>
              <w:rPr>
                <w:rFonts w:ascii="Times New Roman" w:hAnsi="Times New Roman"/>
                <w:color w:val="000000"/>
                <w:sz w:val="16"/>
                <w:szCs w:val="16"/>
              </w:rPr>
            </w:pPr>
          </w:p>
        </w:tc>
        <w:tc>
          <w:tcPr>
            <w:tcW w:w="621" w:type="dxa"/>
            <w:gridSpan w:val="3"/>
            <w:shd w:val="clear" w:color="auto" w:fill="FFFFFF"/>
          </w:tcPr>
          <w:p w14:paraId="6E053793" w14:textId="77777777" w:rsidR="00137409" w:rsidRPr="007002D7" w:rsidRDefault="00137409" w:rsidP="00180F9D">
            <w:pPr>
              <w:spacing w:line="240" w:lineRule="auto"/>
              <w:rPr>
                <w:rFonts w:ascii="Times New Roman" w:hAnsi="Times New Roman"/>
                <w:color w:val="000000"/>
                <w:sz w:val="16"/>
                <w:szCs w:val="16"/>
              </w:rPr>
            </w:pPr>
          </w:p>
        </w:tc>
        <w:tc>
          <w:tcPr>
            <w:tcW w:w="620" w:type="dxa"/>
            <w:gridSpan w:val="2"/>
            <w:shd w:val="clear" w:color="auto" w:fill="FFFFFF"/>
          </w:tcPr>
          <w:p w14:paraId="5931E1A3" w14:textId="77777777" w:rsidR="00137409" w:rsidRPr="007002D7" w:rsidRDefault="00137409" w:rsidP="00180F9D">
            <w:pPr>
              <w:spacing w:line="240" w:lineRule="auto"/>
              <w:rPr>
                <w:rFonts w:ascii="Times New Roman" w:hAnsi="Times New Roman"/>
                <w:color w:val="000000"/>
                <w:sz w:val="16"/>
                <w:szCs w:val="16"/>
              </w:rPr>
            </w:pPr>
          </w:p>
        </w:tc>
        <w:tc>
          <w:tcPr>
            <w:tcW w:w="621" w:type="dxa"/>
            <w:shd w:val="clear" w:color="auto" w:fill="FFFFFF"/>
          </w:tcPr>
          <w:p w14:paraId="69A9FEF5" w14:textId="77777777" w:rsidR="00137409" w:rsidRPr="007002D7" w:rsidRDefault="00137409" w:rsidP="00180F9D">
            <w:pPr>
              <w:spacing w:line="240" w:lineRule="auto"/>
              <w:rPr>
                <w:rFonts w:ascii="Times New Roman" w:hAnsi="Times New Roman"/>
                <w:color w:val="000000"/>
                <w:sz w:val="16"/>
                <w:szCs w:val="16"/>
              </w:rPr>
            </w:pPr>
          </w:p>
        </w:tc>
        <w:tc>
          <w:tcPr>
            <w:tcW w:w="621" w:type="dxa"/>
            <w:gridSpan w:val="2"/>
            <w:shd w:val="clear" w:color="auto" w:fill="FFFFFF"/>
          </w:tcPr>
          <w:p w14:paraId="39A6E78D" w14:textId="77777777" w:rsidR="00137409" w:rsidRPr="007002D7" w:rsidRDefault="00137409" w:rsidP="00180F9D">
            <w:pPr>
              <w:spacing w:line="240" w:lineRule="auto"/>
              <w:rPr>
                <w:rFonts w:ascii="Times New Roman" w:hAnsi="Times New Roman"/>
                <w:color w:val="000000"/>
                <w:sz w:val="16"/>
                <w:szCs w:val="16"/>
              </w:rPr>
            </w:pPr>
          </w:p>
        </w:tc>
        <w:tc>
          <w:tcPr>
            <w:tcW w:w="998" w:type="dxa"/>
            <w:gridSpan w:val="2"/>
            <w:shd w:val="clear" w:color="auto" w:fill="FFFFFF"/>
          </w:tcPr>
          <w:p w14:paraId="530DF14D" w14:textId="67BBF044" w:rsidR="00137409" w:rsidRPr="007002D7" w:rsidRDefault="00137409" w:rsidP="00180F9D">
            <w:pPr>
              <w:spacing w:line="240" w:lineRule="auto"/>
              <w:rPr>
                <w:rFonts w:ascii="Times New Roman" w:hAnsi="Times New Roman"/>
                <w:color w:val="000000"/>
                <w:sz w:val="16"/>
                <w:szCs w:val="16"/>
              </w:rPr>
            </w:pPr>
          </w:p>
        </w:tc>
      </w:tr>
      <w:tr w:rsidR="002B2290" w:rsidRPr="0066079A" w14:paraId="79BB089A" w14:textId="77777777" w:rsidTr="00C0085E">
        <w:trPr>
          <w:trHeight w:val="344"/>
        </w:trPr>
        <w:tc>
          <w:tcPr>
            <w:tcW w:w="3126" w:type="dxa"/>
            <w:gridSpan w:val="4"/>
            <w:shd w:val="clear" w:color="auto" w:fill="FFFFFF"/>
            <w:vAlign w:val="center"/>
          </w:tcPr>
          <w:p w14:paraId="61CA0B09" w14:textId="77777777"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t>pozostałe jednostki (oddzielnie)</w:t>
            </w:r>
          </w:p>
        </w:tc>
        <w:tc>
          <w:tcPr>
            <w:tcW w:w="620" w:type="dxa"/>
            <w:gridSpan w:val="2"/>
            <w:shd w:val="clear" w:color="auto" w:fill="FFFFFF"/>
          </w:tcPr>
          <w:p w14:paraId="1F163854" w14:textId="77777777" w:rsidR="00137409" w:rsidRPr="007002D7" w:rsidRDefault="00137409" w:rsidP="00180F9D">
            <w:pPr>
              <w:spacing w:line="240" w:lineRule="auto"/>
              <w:rPr>
                <w:rFonts w:ascii="Times New Roman" w:hAnsi="Times New Roman"/>
                <w:color w:val="000000"/>
                <w:sz w:val="16"/>
                <w:szCs w:val="16"/>
              </w:rPr>
            </w:pPr>
          </w:p>
        </w:tc>
        <w:tc>
          <w:tcPr>
            <w:tcW w:w="621" w:type="dxa"/>
            <w:gridSpan w:val="2"/>
            <w:shd w:val="clear" w:color="auto" w:fill="FFFFFF"/>
          </w:tcPr>
          <w:p w14:paraId="327BC31C" w14:textId="77777777" w:rsidR="00137409" w:rsidRPr="007002D7" w:rsidRDefault="00137409" w:rsidP="00180F9D">
            <w:pPr>
              <w:spacing w:line="240" w:lineRule="auto"/>
              <w:rPr>
                <w:rFonts w:ascii="Times New Roman" w:hAnsi="Times New Roman"/>
                <w:color w:val="000000"/>
                <w:sz w:val="16"/>
                <w:szCs w:val="16"/>
              </w:rPr>
            </w:pPr>
          </w:p>
        </w:tc>
        <w:tc>
          <w:tcPr>
            <w:tcW w:w="620" w:type="dxa"/>
            <w:gridSpan w:val="3"/>
            <w:shd w:val="clear" w:color="auto" w:fill="FFFFFF"/>
          </w:tcPr>
          <w:p w14:paraId="50F8E5C8" w14:textId="77777777" w:rsidR="00137409" w:rsidRPr="007002D7" w:rsidRDefault="00137409" w:rsidP="00180F9D">
            <w:pPr>
              <w:spacing w:line="240" w:lineRule="auto"/>
              <w:rPr>
                <w:rFonts w:ascii="Times New Roman" w:hAnsi="Times New Roman"/>
                <w:color w:val="000000"/>
                <w:sz w:val="16"/>
                <w:szCs w:val="16"/>
              </w:rPr>
            </w:pPr>
          </w:p>
        </w:tc>
        <w:tc>
          <w:tcPr>
            <w:tcW w:w="621" w:type="dxa"/>
            <w:gridSpan w:val="2"/>
            <w:shd w:val="clear" w:color="auto" w:fill="FFFFFF"/>
          </w:tcPr>
          <w:p w14:paraId="779416F9" w14:textId="77777777" w:rsidR="00137409" w:rsidRPr="007002D7" w:rsidRDefault="00137409" w:rsidP="00180F9D">
            <w:pPr>
              <w:spacing w:line="240" w:lineRule="auto"/>
              <w:rPr>
                <w:rFonts w:ascii="Times New Roman" w:hAnsi="Times New Roman"/>
                <w:color w:val="000000"/>
                <w:sz w:val="16"/>
                <w:szCs w:val="16"/>
              </w:rPr>
            </w:pPr>
          </w:p>
        </w:tc>
        <w:tc>
          <w:tcPr>
            <w:tcW w:w="620" w:type="dxa"/>
            <w:gridSpan w:val="2"/>
            <w:shd w:val="clear" w:color="auto" w:fill="FFFFFF"/>
          </w:tcPr>
          <w:p w14:paraId="07424F30" w14:textId="77777777" w:rsidR="00137409" w:rsidRPr="007002D7" w:rsidRDefault="00137409" w:rsidP="00180F9D">
            <w:pPr>
              <w:spacing w:line="240" w:lineRule="auto"/>
              <w:rPr>
                <w:rFonts w:ascii="Times New Roman" w:hAnsi="Times New Roman"/>
                <w:color w:val="000000"/>
                <w:sz w:val="16"/>
                <w:szCs w:val="16"/>
              </w:rPr>
            </w:pPr>
          </w:p>
        </w:tc>
        <w:tc>
          <w:tcPr>
            <w:tcW w:w="621" w:type="dxa"/>
            <w:gridSpan w:val="3"/>
            <w:shd w:val="clear" w:color="auto" w:fill="FFFFFF"/>
          </w:tcPr>
          <w:p w14:paraId="15E49A50" w14:textId="77777777" w:rsidR="00137409" w:rsidRPr="007002D7" w:rsidRDefault="00137409" w:rsidP="00180F9D">
            <w:pPr>
              <w:spacing w:line="240" w:lineRule="auto"/>
              <w:rPr>
                <w:rFonts w:ascii="Times New Roman" w:hAnsi="Times New Roman"/>
                <w:color w:val="000000"/>
                <w:sz w:val="16"/>
                <w:szCs w:val="16"/>
              </w:rPr>
            </w:pPr>
          </w:p>
        </w:tc>
        <w:tc>
          <w:tcPr>
            <w:tcW w:w="620" w:type="dxa"/>
            <w:gridSpan w:val="2"/>
            <w:shd w:val="clear" w:color="auto" w:fill="FFFFFF"/>
          </w:tcPr>
          <w:p w14:paraId="7E00B98A" w14:textId="77777777" w:rsidR="00137409" w:rsidRPr="007002D7" w:rsidRDefault="00137409" w:rsidP="00180F9D">
            <w:pPr>
              <w:spacing w:line="240" w:lineRule="auto"/>
              <w:rPr>
                <w:rFonts w:ascii="Times New Roman" w:hAnsi="Times New Roman"/>
                <w:color w:val="000000"/>
                <w:sz w:val="16"/>
                <w:szCs w:val="16"/>
              </w:rPr>
            </w:pPr>
          </w:p>
        </w:tc>
        <w:tc>
          <w:tcPr>
            <w:tcW w:w="621" w:type="dxa"/>
            <w:gridSpan w:val="3"/>
            <w:shd w:val="clear" w:color="auto" w:fill="FFFFFF"/>
          </w:tcPr>
          <w:p w14:paraId="7CDAD219" w14:textId="77777777" w:rsidR="00137409" w:rsidRPr="007002D7" w:rsidRDefault="00137409" w:rsidP="00180F9D">
            <w:pPr>
              <w:spacing w:line="240" w:lineRule="auto"/>
              <w:rPr>
                <w:rFonts w:ascii="Times New Roman" w:hAnsi="Times New Roman"/>
                <w:color w:val="000000"/>
                <w:sz w:val="16"/>
                <w:szCs w:val="16"/>
              </w:rPr>
            </w:pPr>
          </w:p>
        </w:tc>
        <w:tc>
          <w:tcPr>
            <w:tcW w:w="620" w:type="dxa"/>
            <w:gridSpan w:val="2"/>
            <w:shd w:val="clear" w:color="auto" w:fill="FFFFFF"/>
          </w:tcPr>
          <w:p w14:paraId="71BB09BB" w14:textId="77777777" w:rsidR="00137409" w:rsidRPr="007002D7" w:rsidRDefault="00137409" w:rsidP="00180F9D">
            <w:pPr>
              <w:spacing w:line="240" w:lineRule="auto"/>
              <w:rPr>
                <w:rFonts w:ascii="Times New Roman" w:hAnsi="Times New Roman"/>
                <w:color w:val="000000"/>
                <w:sz w:val="16"/>
                <w:szCs w:val="16"/>
              </w:rPr>
            </w:pPr>
          </w:p>
        </w:tc>
        <w:tc>
          <w:tcPr>
            <w:tcW w:w="621" w:type="dxa"/>
            <w:shd w:val="clear" w:color="auto" w:fill="FFFFFF"/>
          </w:tcPr>
          <w:p w14:paraId="2F71467E" w14:textId="77777777" w:rsidR="00137409" w:rsidRPr="007002D7" w:rsidRDefault="00137409" w:rsidP="00180F9D">
            <w:pPr>
              <w:spacing w:line="240" w:lineRule="auto"/>
              <w:rPr>
                <w:rFonts w:ascii="Times New Roman" w:hAnsi="Times New Roman"/>
                <w:color w:val="000000"/>
                <w:sz w:val="16"/>
                <w:szCs w:val="16"/>
              </w:rPr>
            </w:pPr>
          </w:p>
        </w:tc>
        <w:tc>
          <w:tcPr>
            <w:tcW w:w="621" w:type="dxa"/>
            <w:gridSpan w:val="2"/>
            <w:shd w:val="clear" w:color="auto" w:fill="FFFFFF"/>
          </w:tcPr>
          <w:p w14:paraId="27AA177B" w14:textId="77777777" w:rsidR="00137409" w:rsidRPr="007002D7" w:rsidRDefault="00137409" w:rsidP="00180F9D">
            <w:pPr>
              <w:spacing w:line="240" w:lineRule="auto"/>
              <w:rPr>
                <w:rFonts w:ascii="Times New Roman" w:hAnsi="Times New Roman"/>
                <w:color w:val="000000"/>
                <w:sz w:val="16"/>
                <w:szCs w:val="16"/>
              </w:rPr>
            </w:pPr>
          </w:p>
        </w:tc>
        <w:tc>
          <w:tcPr>
            <w:tcW w:w="998" w:type="dxa"/>
            <w:gridSpan w:val="2"/>
            <w:shd w:val="clear" w:color="auto" w:fill="FFFFFF"/>
          </w:tcPr>
          <w:p w14:paraId="43539D01" w14:textId="77777777" w:rsidR="00137409" w:rsidRPr="007002D7" w:rsidRDefault="00137409" w:rsidP="00180F9D">
            <w:pPr>
              <w:spacing w:line="240" w:lineRule="auto"/>
              <w:rPr>
                <w:rFonts w:ascii="Times New Roman" w:hAnsi="Times New Roman"/>
                <w:color w:val="000000"/>
                <w:sz w:val="16"/>
                <w:szCs w:val="16"/>
              </w:rPr>
            </w:pPr>
          </w:p>
        </w:tc>
      </w:tr>
      <w:tr w:rsidR="002B2290" w:rsidRPr="0066079A" w14:paraId="3E111BD5" w14:textId="77777777" w:rsidTr="00C0085E">
        <w:trPr>
          <w:trHeight w:val="330"/>
        </w:trPr>
        <w:tc>
          <w:tcPr>
            <w:tcW w:w="3126" w:type="dxa"/>
            <w:gridSpan w:val="4"/>
            <w:shd w:val="clear" w:color="auto" w:fill="FFFFFF"/>
            <w:vAlign w:val="center"/>
          </w:tcPr>
          <w:p w14:paraId="1745E29A" w14:textId="77777777" w:rsidR="009427BB" w:rsidRPr="0066079A" w:rsidRDefault="009427BB" w:rsidP="00180F9D">
            <w:pPr>
              <w:spacing w:line="240" w:lineRule="auto"/>
              <w:rPr>
                <w:rFonts w:ascii="Times New Roman" w:hAnsi="Times New Roman"/>
                <w:color w:val="000000"/>
                <w:sz w:val="21"/>
                <w:szCs w:val="21"/>
              </w:rPr>
            </w:pPr>
            <w:r w:rsidRPr="0066079A">
              <w:rPr>
                <w:rFonts w:ascii="Times New Roman" w:hAnsi="Times New Roman"/>
                <w:b/>
                <w:color w:val="000000"/>
                <w:sz w:val="21"/>
                <w:szCs w:val="21"/>
              </w:rPr>
              <w:t>Wydatki ogółem</w:t>
            </w:r>
          </w:p>
        </w:tc>
        <w:tc>
          <w:tcPr>
            <w:tcW w:w="620" w:type="dxa"/>
            <w:gridSpan w:val="2"/>
            <w:shd w:val="clear" w:color="auto" w:fill="FFFFFF"/>
          </w:tcPr>
          <w:p w14:paraId="6F12DBB9" w14:textId="44A462D3" w:rsidR="009427BB" w:rsidRPr="007002D7" w:rsidRDefault="00913057" w:rsidP="00180F9D">
            <w:pPr>
              <w:spacing w:line="240" w:lineRule="auto"/>
              <w:rPr>
                <w:rFonts w:ascii="Times New Roman" w:hAnsi="Times New Roman"/>
                <w:color w:val="000000"/>
                <w:sz w:val="16"/>
                <w:szCs w:val="16"/>
              </w:rPr>
            </w:pPr>
            <w:r>
              <w:rPr>
                <w:rFonts w:ascii="Times New Roman" w:hAnsi="Times New Roman"/>
                <w:color w:val="000000"/>
                <w:sz w:val="16"/>
                <w:szCs w:val="16"/>
              </w:rPr>
              <w:t>4,57</w:t>
            </w:r>
          </w:p>
        </w:tc>
        <w:tc>
          <w:tcPr>
            <w:tcW w:w="621" w:type="dxa"/>
            <w:gridSpan w:val="2"/>
            <w:shd w:val="clear" w:color="auto" w:fill="FFFFFF"/>
          </w:tcPr>
          <w:p w14:paraId="418447BC" w14:textId="370D8109" w:rsidR="009427BB" w:rsidRPr="007002D7" w:rsidRDefault="009427BB" w:rsidP="00180F9D">
            <w:pPr>
              <w:spacing w:line="240" w:lineRule="auto"/>
              <w:rPr>
                <w:rFonts w:ascii="Times New Roman" w:hAnsi="Times New Roman"/>
                <w:color w:val="000000"/>
                <w:sz w:val="16"/>
                <w:szCs w:val="16"/>
              </w:rPr>
            </w:pPr>
            <w:r>
              <w:rPr>
                <w:rFonts w:ascii="Times New Roman" w:hAnsi="Times New Roman"/>
                <w:color w:val="000000"/>
                <w:sz w:val="16"/>
                <w:szCs w:val="16"/>
              </w:rPr>
              <w:t>1,</w:t>
            </w:r>
            <w:r w:rsidR="00950656">
              <w:rPr>
                <w:rFonts w:ascii="Times New Roman" w:hAnsi="Times New Roman"/>
                <w:color w:val="000000"/>
                <w:sz w:val="16"/>
                <w:szCs w:val="16"/>
              </w:rPr>
              <w:t>7</w:t>
            </w:r>
            <w:r>
              <w:rPr>
                <w:rFonts w:ascii="Times New Roman" w:hAnsi="Times New Roman"/>
                <w:color w:val="000000"/>
                <w:sz w:val="16"/>
                <w:szCs w:val="16"/>
              </w:rPr>
              <w:t>53</w:t>
            </w:r>
          </w:p>
        </w:tc>
        <w:tc>
          <w:tcPr>
            <w:tcW w:w="620" w:type="dxa"/>
            <w:gridSpan w:val="3"/>
            <w:shd w:val="clear" w:color="auto" w:fill="FFFFFF"/>
          </w:tcPr>
          <w:p w14:paraId="0AC0D722" w14:textId="67172880" w:rsidR="009427BB" w:rsidRPr="007002D7" w:rsidRDefault="009427BB" w:rsidP="00180F9D">
            <w:pPr>
              <w:spacing w:line="240" w:lineRule="auto"/>
              <w:rPr>
                <w:rFonts w:ascii="Times New Roman" w:hAnsi="Times New Roman"/>
                <w:color w:val="000000"/>
                <w:sz w:val="16"/>
                <w:szCs w:val="16"/>
              </w:rPr>
            </w:pPr>
            <w:r>
              <w:rPr>
                <w:rFonts w:ascii="Times New Roman" w:hAnsi="Times New Roman"/>
                <w:color w:val="000000"/>
                <w:sz w:val="16"/>
                <w:szCs w:val="16"/>
              </w:rPr>
              <w:t>0,002</w:t>
            </w:r>
          </w:p>
        </w:tc>
        <w:tc>
          <w:tcPr>
            <w:tcW w:w="621" w:type="dxa"/>
            <w:gridSpan w:val="2"/>
            <w:shd w:val="clear" w:color="auto" w:fill="FFFFFF"/>
          </w:tcPr>
          <w:p w14:paraId="2309F30B" w14:textId="7E79B1FA" w:rsidR="009427BB" w:rsidRPr="007002D7" w:rsidRDefault="009427BB" w:rsidP="00180F9D">
            <w:pPr>
              <w:spacing w:line="240" w:lineRule="auto"/>
              <w:rPr>
                <w:rFonts w:ascii="Times New Roman" w:hAnsi="Times New Roman"/>
                <w:color w:val="000000"/>
                <w:sz w:val="16"/>
                <w:szCs w:val="16"/>
              </w:rPr>
            </w:pPr>
            <w:r>
              <w:rPr>
                <w:rFonts w:ascii="Times New Roman" w:hAnsi="Times New Roman"/>
                <w:color w:val="000000"/>
                <w:sz w:val="16"/>
                <w:szCs w:val="16"/>
              </w:rPr>
              <w:t>0,001</w:t>
            </w:r>
          </w:p>
        </w:tc>
        <w:tc>
          <w:tcPr>
            <w:tcW w:w="620" w:type="dxa"/>
            <w:gridSpan w:val="2"/>
            <w:shd w:val="clear" w:color="auto" w:fill="FFFFFF"/>
          </w:tcPr>
          <w:p w14:paraId="4FBDAF9B" w14:textId="1DADD136" w:rsidR="009427BB" w:rsidRPr="007002D7" w:rsidRDefault="009427BB" w:rsidP="00180F9D">
            <w:pPr>
              <w:spacing w:line="240" w:lineRule="auto"/>
              <w:rPr>
                <w:rFonts w:ascii="Times New Roman" w:hAnsi="Times New Roman"/>
                <w:color w:val="000000"/>
                <w:sz w:val="16"/>
                <w:szCs w:val="16"/>
              </w:rPr>
            </w:pPr>
            <w:r>
              <w:rPr>
                <w:rFonts w:ascii="Times New Roman" w:hAnsi="Times New Roman"/>
                <w:color w:val="000000"/>
                <w:sz w:val="16"/>
                <w:szCs w:val="16"/>
              </w:rPr>
              <w:t>0,001</w:t>
            </w:r>
          </w:p>
        </w:tc>
        <w:tc>
          <w:tcPr>
            <w:tcW w:w="621" w:type="dxa"/>
            <w:gridSpan w:val="3"/>
            <w:shd w:val="clear" w:color="auto" w:fill="FFFFFF"/>
          </w:tcPr>
          <w:p w14:paraId="3B06B981" w14:textId="303FD52B" w:rsidR="009427BB" w:rsidRPr="007002D7" w:rsidRDefault="009427BB" w:rsidP="00180F9D">
            <w:pPr>
              <w:spacing w:line="240" w:lineRule="auto"/>
              <w:rPr>
                <w:rFonts w:ascii="Times New Roman" w:hAnsi="Times New Roman"/>
                <w:color w:val="000000"/>
                <w:sz w:val="16"/>
                <w:szCs w:val="16"/>
              </w:rPr>
            </w:pPr>
            <w:r>
              <w:rPr>
                <w:rFonts w:ascii="Times New Roman" w:hAnsi="Times New Roman"/>
                <w:color w:val="000000"/>
                <w:sz w:val="16"/>
                <w:szCs w:val="16"/>
              </w:rPr>
              <w:t>0,001</w:t>
            </w:r>
          </w:p>
        </w:tc>
        <w:tc>
          <w:tcPr>
            <w:tcW w:w="620" w:type="dxa"/>
            <w:gridSpan w:val="2"/>
            <w:shd w:val="clear" w:color="auto" w:fill="FFFFFF"/>
          </w:tcPr>
          <w:p w14:paraId="0C076ECC" w14:textId="1BE19037" w:rsidR="009427BB" w:rsidRPr="007002D7" w:rsidRDefault="009427BB" w:rsidP="00180F9D">
            <w:pPr>
              <w:spacing w:line="240" w:lineRule="auto"/>
              <w:rPr>
                <w:rFonts w:ascii="Times New Roman" w:hAnsi="Times New Roman"/>
                <w:color w:val="000000"/>
                <w:sz w:val="16"/>
                <w:szCs w:val="16"/>
              </w:rPr>
            </w:pPr>
            <w:r>
              <w:rPr>
                <w:rFonts w:ascii="Times New Roman" w:hAnsi="Times New Roman"/>
                <w:color w:val="000000"/>
                <w:sz w:val="16"/>
                <w:szCs w:val="16"/>
              </w:rPr>
              <w:t>0,001</w:t>
            </w:r>
          </w:p>
        </w:tc>
        <w:tc>
          <w:tcPr>
            <w:tcW w:w="621" w:type="dxa"/>
            <w:gridSpan w:val="3"/>
            <w:shd w:val="clear" w:color="auto" w:fill="FFFFFF"/>
          </w:tcPr>
          <w:p w14:paraId="14322EED" w14:textId="37664D4C" w:rsidR="009427BB" w:rsidRPr="007002D7" w:rsidRDefault="009427BB" w:rsidP="00180F9D">
            <w:pPr>
              <w:spacing w:line="240" w:lineRule="auto"/>
              <w:rPr>
                <w:rFonts w:ascii="Times New Roman" w:hAnsi="Times New Roman"/>
                <w:color w:val="000000"/>
                <w:sz w:val="16"/>
                <w:szCs w:val="16"/>
              </w:rPr>
            </w:pPr>
            <w:r>
              <w:rPr>
                <w:rFonts w:ascii="Times New Roman" w:hAnsi="Times New Roman"/>
                <w:color w:val="000000"/>
                <w:sz w:val="16"/>
                <w:szCs w:val="16"/>
              </w:rPr>
              <w:t>0,001</w:t>
            </w:r>
          </w:p>
        </w:tc>
        <w:tc>
          <w:tcPr>
            <w:tcW w:w="620" w:type="dxa"/>
            <w:gridSpan w:val="2"/>
            <w:shd w:val="clear" w:color="auto" w:fill="FFFFFF"/>
          </w:tcPr>
          <w:p w14:paraId="643EF105" w14:textId="6AB022BD" w:rsidR="009427BB" w:rsidRPr="007002D7" w:rsidRDefault="009427BB" w:rsidP="00180F9D">
            <w:pPr>
              <w:spacing w:line="240" w:lineRule="auto"/>
              <w:rPr>
                <w:rFonts w:ascii="Times New Roman" w:hAnsi="Times New Roman"/>
                <w:color w:val="000000"/>
                <w:sz w:val="16"/>
                <w:szCs w:val="16"/>
              </w:rPr>
            </w:pPr>
            <w:r>
              <w:rPr>
                <w:rFonts w:ascii="Times New Roman" w:hAnsi="Times New Roman"/>
                <w:color w:val="000000"/>
                <w:sz w:val="16"/>
                <w:szCs w:val="16"/>
              </w:rPr>
              <w:t>0,001</w:t>
            </w:r>
          </w:p>
        </w:tc>
        <w:tc>
          <w:tcPr>
            <w:tcW w:w="621" w:type="dxa"/>
            <w:shd w:val="clear" w:color="auto" w:fill="FFFFFF"/>
          </w:tcPr>
          <w:p w14:paraId="5DB12C20" w14:textId="0231AD77" w:rsidR="009427BB" w:rsidRPr="007002D7" w:rsidRDefault="009427BB" w:rsidP="00180F9D">
            <w:pPr>
              <w:spacing w:line="240" w:lineRule="auto"/>
              <w:rPr>
                <w:rFonts w:ascii="Times New Roman" w:hAnsi="Times New Roman"/>
                <w:color w:val="000000"/>
                <w:sz w:val="16"/>
                <w:szCs w:val="16"/>
              </w:rPr>
            </w:pPr>
            <w:r>
              <w:rPr>
                <w:rFonts w:ascii="Times New Roman" w:hAnsi="Times New Roman"/>
                <w:color w:val="000000"/>
                <w:sz w:val="16"/>
                <w:szCs w:val="16"/>
              </w:rPr>
              <w:t>0,001</w:t>
            </w:r>
          </w:p>
        </w:tc>
        <w:tc>
          <w:tcPr>
            <w:tcW w:w="621" w:type="dxa"/>
            <w:gridSpan w:val="2"/>
            <w:shd w:val="clear" w:color="auto" w:fill="FFFFFF"/>
          </w:tcPr>
          <w:p w14:paraId="70F6A342" w14:textId="46D86AEC" w:rsidR="009427BB" w:rsidRPr="007002D7" w:rsidRDefault="009427BB" w:rsidP="00180F9D">
            <w:pPr>
              <w:spacing w:line="240" w:lineRule="auto"/>
              <w:rPr>
                <w:rFonts w:ascii="Times New Roman" w:hAnsi="Times New Roman"/>
                <w:color w:val="000000"/>
                <w:sz w:val="16"/>
                <w:szCs w:val="16"/>
              </w:rPr>
            </w:pPr>
            <w:r>
              <w:rPr>
                <w:rFonts w:ascii="Times New Roman" w:hAnsi="Times New Roman"/>
                <w:color w:val="000000"/>
                <w:sz w:val="16"/>
                <w:szCs w:val="16"/>
              </w:rPr>
              <w:t>0,001</w:t>
            </w:r>
          </w:p>
        </w:tc>
        <w:tc>
          <w:tcPr>
            <w:tcW w:w="998" w:type="dxa"/>
            <w:gridSpan w:val="2"/>
            <w:shd w:val="clear" w:color="auto" w:fill="FFFFFF"/>
          </w:tcPr>
          <w:p w14:paraId="40E220CC" w14:textId="1CE73FE4" w:rsidR="009427BB" w:rsidRPr="007002D7" w:rsidRDefault="00913057" w:rsidP="00180F9D">
            <w:pPr>
              <w:spacing w:line="240" w:lineRule="auto"/>
              <w:rPr>
                <w:rFonts w:ascii="Times New Roman" w:hAnsi="Times New Roman"/>
                <w:color w:val="000000"/>
                <w:sz w:val="16"/>
                <w:szCs w:val="16"/>
              </w:rPr>
            </w:pPr>
            <w:r>
              <w:rPr>
                <w:rFonts w:ascii="Times New Roman" w:hAnsi="Times New Roman"/>
                <w:color w:val="000000"/>
                <w:sz w:val="16"/>
                <w:szCs w:val="16"/>
              </w:rPr>
              <w:t>6,333</w:t>
            </w:r>
          </w:p>
        </w:tc>
      </w:tr>
      <w:tr w:rsidR="002B2290" w:rsidRPr="0066079A" w14:paraId="0C613F00" w14:textId="77777777" w:rsidTr="00C0085E">
        <w:trPr>
          <w:trHeight w:val="330"/>
        </w:trPr>
        <w:tc>
          <w:tcPr>
            <w:tcW w:w="3126" w:type="dxa"/>
            <w:gridSpan w:val="4"/>
            <w:shd w:val="clear" w:color="auto" w:fill="FFFFFF"/>
            <w:vAlign w:val="center"/>
          </w:tcPr>
          <w:p w14:paraId="31659F89" w14:textId="77777777"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t>budżet państwa</w:t>
            </w:r>
          </w:p>
        </w:tc>
        <w:tc>
          <w:tcPr>
            <w:tcW w:w="620" w:type="dxa"/>
            <w:gridSpan w:val="2"/>
            <w:shd w:val="clear" w:color="auto" w:fill="FFFFFF"/>
          </w:tcPr>
          <w:p w14:paraId="22A6067D" w14:textId="20BBDC8B" w:rsidR="00137409" w:rsidRPr="007002D7" w:rsidRDefault="00137409" w:rsidP="00180F9D">
            <w:pPr>
              <w:spacing w:line="240" w:lineRule="auto"/>
              <w:rPr>
                <w:rFonts w:ascii="Times New Roman" w:hAnsi="Times New Roman"/>
                <w:color w:val="000000"/>
                <w:sz w:val="16"/>
                <w:szCs w:val="16"/>
              </w:rPr>
            </w:pPr>
            <w:r>
              <w:rPr>
                <w:rFonts w:ascii="Times New Roman" w:hAnsi="Times New Roman"/>
                <w:color w:val="000000"/>
                <w:sz w:val="16"/>
                <w:szCs w:val="16"/>
              </w:rPr>
              <w:t>1,2</w:t>
            </w:r>
            <w:r w:rsidR="007E5C2C">
              <w:rPr>
                <w:rFonts w:ascii="Times New Roman" w:hAnsi="Times New Roman"/>
                <w:color w:val="000000"/>
                <w:sz w:val="16"/>
                <w:szCs w:val="16"/>
              </w:rPr>
              <w:t>7</w:t>
            </w:r>
          </w:p>
        </w:tc>
        <w:tc>
          <w:tcPr>
            <w:tcW w:w="621" w:type="dxa"/>
            <w:gridSpan w:val="2"/>
            <w:shd w:val="clear" w:color="auto" w:fill="FFFFFF"/>
          </w:tcPr>
          <w:p w14:paraId="5653BA55" w14:textId="4A9A6F5F" w:rsidR="00137409" w:rsidRPr="007002D7" w:rsidRDefault="00137409" w:rsidP="00180F9D">
            <w:pPr>
              <w:spacing w:line="240" w:lineRule="auto"/>
              <w:rPr>
                <w:rFonts w:ascii="Times New Roman" w:hAnsi="Times New Roman"/>
                <w:color w:val="000000"/>
                <w:sz w:val="16"/>
                <w:szCs w:val="16"/>
              </w:rPr>
            </w:pPr>
            <w:r>
              <w:rPr>
                <w:rFonts w:ascii="Times New Roman" w:hAnsi="Times New Roman"/>
                <w:color w:val="000000"/>
                <w:sz w:val="16"/>
                <w:szCs w:val="16"/>
              </w:rPr>
              <w:t>0,32</w:t>
            </w:r>
          </w:p>
        </w:tc>
        <w:tc>
          <w:tcPr>
            <w:tcW w:w="620" w:type="dxa"/>
            <w:gridSpan w:val="3"/>
            <w:shd w:val="clear" w:color="auto" w:fill="FFFFFF"/>
          </w:tcPr>
          <w:p w14:paraId="65202F4F" w14:textId="7D273D28" w:rsidR="00137409" w:rsidRPr="007002D7" w:rsidRDefault="00417926" w:rsidP="00180F9D">
            <w:pPr>
              <w:spacing w:line="240" w:lineRule="auto"/>
              <w:rPr>
                <w:rFonts w:ascii="Times New Roman" w:hAnsi="Times New Roman"/>
                <w:color w:val="000000"/>
                <w:sz w:val="16"/>
                <w:szCs w:val="16"/>
              </w:rPr>
            </w:pPr>
            <w:r>
              <w:rPr>
                <w:rFonts w:ascii="Times New Roman" w:hAnsi="Times New Roman"/>
                <w:color w:val="000000"/>
                <w:sz w:val="16"/>
                <w:szCs w:val="16"/>
              </w:rPr>
              <w:t>0,002</w:t>
            </w:r>
          </w:p>
        </w:tc>
        <w:tc>
          <w:tcPr>
            <w:tcW w:w="621" w:type="dxa"/>
            <w:gridSpan w:val="2"/>
            <w:shd w:val="clear" w:color="auto" w:fill="FFFFFF"/>
          </w:tcPr>
          <w:p w14:paraId="1EC3E123" w14:textId="31251550" w:rsidR="00137409" w:rsidRPr="007002D7" w:rsidRDefault="007E5C2C" w:rsidP="00180F9D">
            <w:pPr>
              <w:spacing w:line="240" w:lineRule="auto"/>
              <w:rPr>
                <w:rFonts w:ascii="Times New Roman" w:hAnsi="Times New Roman"/>
                <w:color w:val="000000"/>
                <w:sz w:val="16"/>
                <w:szCs w:val="16"/>
              </w:rPr>
            </w:pPr>
            <w:r>
              <w:rPr>
                <w:rFonts w:ascii="Times New Roman" w:hAnsi="Times New Roman"/>
                <w:color w:val="000000"/>
                <w:sz w:val="16"/>
                <w:szCs w:val="16"/>
              </w:rPr>
              <w:t>0,00</w:t>
            </w:r>
            <w:r w:rsidR="00CA7E4B">
              <w:rPr>
                <w:rFonts w:ascii="Times New Roman" w:hAnsi="Times New Roman"/>
                <w:color w:val="000000"/>
                <w:sz w:val="16"/>
                <w:szCs w:val="16"/>
              </w:rPr>
              <w:t>1</w:t>
            </w:r>
          </w:p>
        </w:tc>
        <w:tc>
          <w:tcPr>
            <w:tcW w:w="620" w:type="dxa"/>
            <w:gridSpan w:val="2"/>
            <w:shd w:val="clear" w:color="auto" w:fill="FFFFFF"/>
          </w:tcPr>
          <w:p w14:paraId="5BA0C3B8" w14:textId="539401EE" w:rsidR="00137409" w:rsidRPr="007002D7" w:rsidRDefault="005070F8" w:rsidP="00180F9D">
            <w:pPr>
              <w:spacing w:line="240" w:lineRule="auto"/>
              <w:rPr>
                <w:rFonts w:ascii="Times New Roman" w:hAnsi="Times New Roman"/>
                <w:color w:val="000000"/>
                <w:sz w:val="16"/>
                <w:szCs w:val="16"/>
              </w:rPr>
            </w:pPr>
            <w:r>
              <w:rPr>
                <w:rFonts w:ascii="Times New Roman" w:hAnsi="Times New Roman"/>
                <w:color w:val="000000"/>
                <w:sz w:val="16"/>
                <w:szCs w:val="16"/>
              </w:rPr>
              <w:t>0,00</w:t>
            </w:r>
            <w:r w:rsidR="00CA7E4B">
              <w:rPr>
                <w:rFonts w:ascii="Times New Roman" w:hAnsi="Times New Roman"/>
                <w:color w:val="000000"/>
                <w:sz w:val="16"/>
                <w:szCs w:val="16"/>
              </w:rPr>
              <w:t>1</w:t>
            </w:r>
          </w:p>
        </w:tc>
        <w:tc>
          <w:tcPr>
            <w:tcW w:w="621" w:type="dxa"/>
            <w:gridSpan w:val="3"/>
            <w:shd w:val="clear" w:color="auto" w:fill="FFFFFF"/>
          </w:tcPr>
          <w:p w14:paraId="4181590A" w14:textId="58F0198D" w:rsidR="00137409" w:rsidRPr="007002D7" w:rsidRDefault="005070F8" w:rsidP="00180F9D">
            <w:pPr>
              <w:spacing w:line="240" w:lineRule="auto"/>
              <w:rPr>
                <w:rFonts w:ascii="Times New Roman" w:hAnsi="Times New Roman"/>
                <w:color w:val="000000"/>
                <w:sz w:val="16"/>
                <w:szCs w:val="16"/>
              </w:rPr>
            </w:pPr>
            <w:r>
              <w:rPr>
                <w:rFonts w:ascii="Times New Roman" w:hAnsi="Times New Roman"/>
                <w:color w:val="000000"/>
                <w:sz w:val="16"/>
                <w:szCs w:val="16"/>
              </w:rPr>
              <w:t>0,00</w:t>
            </w:r>
            <w:r w:rsidR="00CA7E4B">
              <w:rPr>
                <w:rFonts w:ascii="Times New Roman" w:hAnsi="Times New Roman"/>
                <w:color w:val="000000"/>
                <w:sz w:val="16"/>
                <w:szCs w:val="16"/>
              </w:rPr>
              <w:t>1</w:t>
            </w:r>
          </w:p>
        </w:tc>
        <w:tc>
          <w:tcPr>
            <w:tcW w:w="620" w:type="dxa"/>
            <w:gridSpan w:val="2"/>
            <w:shd w:val="clear" w:color="auto" w:fill="FFFFFF"/>
          </w:tcPr>
          <w:p w14:paraId="1A419D64" w14:textId="6F7F7BBA" w:rsidR="00137409" w:rsidRPr="007002D7" w:rsidRDefault="005070F8" w:rsidP="00180F9D">
            <w:pPr>
              <w:spacing w:line="240" w:lineRule="auto"/>
              <w:rPr>
                <w:rFonts w:ascii="Times New Roman" w:hAnsi="Times New Roman"/>
                <w:color w:val="000000"/>
                <w:sz w:val="16"/>
                <w:szCs w:val="16"/>
              </w:rPr>
            </w:pPr>
            <w:r>
              <w:rPr>
                <w:rFonts w:ascii="Times New Roman" w:hAnsi="Times New Roman"/>
                <w:color w:val="000000"/>
                <w:sz w:val="16"/>
                <w:szCs w:val="16"/>
              </w:rPr>
              <w:t>0,00</w:t>
            </w:r>
            <w:r w:rsidR="00CA7E4B">
              <w:rPr>
                <w:rFonts w:ascii="Times New Roman" w:hAnsi="Times New Roman"/>
                <w:color w:val="000000"/>
                <w:sz w:val="16"/>
                <w:szCs w:val="16"/>
              </w:rPr>
              <w:t>1</w:t>
            </w:r>
          </w:p>
        </w:tc>
        <w:tc>
          <w:tcPr>
            <w:tcW w:w="621" w:type="dxa"/>
            <w:gridSpan w:val="3"/>
            <w:shd w:val="clear" w:color="auto" w:fill="FFFFFF"/>
          </w:tcPr>
          <w:p w14:paraId="623FC71D" w14:textId="217DB2EC" w:rsidR="00137409" w:rsidRPr="007002D7" w:rsidRDefault="00CA7E4B" w:rsidP="00180F9D">
            <w:pPr>
              <w:spacing w:line="240" w:lineRule="auto"/>
              <w:rPr>
                <w:rFonts w:ascii="Times New Roman" w:hAnsi="Times New Roman"/>
                <w:color w:val="000000"/>
                <w:sz w:val="16"/>
                <w:szCs w:val="16"/>
              </w:rPr>
            </w:pPr>
            <w:r>
              <w:rPr>
                <w:rFonts w:ascii="Times New Roman" w:hAnsi="Times New Roman"/>
                <w:color w:val="000000"/>
                <w:sz w:val="16"/>
                <w:szCs w:val="16"/>
              </w:rPr>
              <w:t>0,001</w:t>
            </w:r>
          </w:p>
        </w:tc>
        <w:tc>
          <w:tcPr>
            <w:tcW w:w="620" w:type="dxa"/>
            <w:gridSpan w:val="2"/>
            <w:shd w:val="clear" w:color="auto" w:fill="FFFFFF"/>
          </w:tcPr>
          <w:p w14:paraId="43C68FCE" w14:textId="7A1D30E0" w:rsidR="00137409" w:rsidRPr="007002D7" w:rsidRDefault="00CA7E4B" w:rsidP="00180F9D">
            <w:pPr>
              <w:spacing w:line="240" w:lineRule="auto"/>
              <w:rPr>
                <w:rFonts w:ascii="Times New Roman" w:hAnsi="Times New Roman"/>
                <w:color w:val="000000"/>
                <w:sz w:val="16"/>
                <w:szCs w:val="16"/>
              </w:rPr>
            </w:pPr>
            <w:r>
              <w:rPr>
                <w:rFonts w:ascii="Times New Roman" w:hAnsi="Times New Roman"/>
                <w:color w:val="000000"/>
                <w:sz w:val="16"/>
                <w:szCs w:val="16"/>
              </w:rPr>
              <w:t>0,001</w:t>
            </w:r>
          </w:p>
        </w:tc>
        <w:tc>
          <w:tcPr>
            <w:tcW w:w="621" w:type="dxa"/>
            <w:shd w:val="clear" w:color="auto" w:fill="FFFFFF"/>
          </w:tcPr>
          <w:p w14:paraId="3387BDBC" w14:textId="328E01C1" w:rsidR="00137409" w:rsidRPr="007002D7" w:rsidRDefault="00CA7E4B" w:rsidP="00180F9D">
            <w:pPr>
              <w:spacing w:line="240" w:lineRule="auto"/>
              <w:rPr>
                <w:rFonts w:ascii="Times New Roman" w:hAnsi="Times New Roman"/>
                <w:color w:val="000000"/>
                <w:sz w:val="16"/>
                <w:szCs w:val="16"/>
              </w:rPr>
            </w:pPr>
            <w:r>
              <w:rPr>
                <w:rFonts w:ascii="Times New Roman" w:hAnsi="Times New Roman"/>
                <w:color w:val="000000"/>
                <w:sz w:val="16"/>
                <w:szCs w:val="16"/>
              </w:rPr>
              <w:t>0,001</w:t>
            </w:r>
          </w:p>
        </w:tc>
        <w:tc>
          <w:tcPr>
            <w:tcW w:w="621" w:type="dxa"/>
            <w:gridSpan w:val="2"/>
            <w:shd w:val="clear" w:color="auto" w:fill="FFFFFF"/>
          </w:tcPr>
          <w:p w14:paraId="79869E59" w14:textId="5A9749B8" w:rsidR="00137409" w:rsidRPr="007002D7" w:rsidRDefault="00CA7E4B" w:rsidP="00180F9D">
            <w:pPr>
              <w:spacing w:line="240" w:lineRule="auto"/>
              <w:rPr>
                <w:rFonts w:ascii="Times New Roman" w:hAnsi="Times New Roman"/>
                <w:color w:val="000000"/>
                <w:sz w:val="16"/>
                <w:szCs w:val="16"/>
              </w:rPr>
            </w:pPr>
            <w:r>
              <w:rPr>
                <w:rFonts w:ascii="Times New Roman" w:hAnsi="Times New Roman"/>
                <w:color w:val="000000"/>
                <w:sz w:val="16"/>
                <w:szCs w:val="16"/>
              </w:rPr>
              <w:t>0,001</w:t>
            </w:r>
          </w:p>
        </w:tc>
        <w:tc>
          <w:tcPr>
            <w:tcW w:w="998" w:type="dxa"/>
            <w:gridSpan w:val="2"/>
            <w:shd w:val="clear" w:color="auto" w:fill="FFFFFF"/>
          </w:tcPr>
          <w:p w14:paraId="3C75C05B" w14:textId="2F0747FA" w:rsidR="00137409" w:rsidRPr="007002D7" w:rsidRDefault="00137409" w:rsidP="00180F9D">
            <w:pPr>
              <w:spacing w:line="240" w:lineRule="auto"/>
              <w:rPr>
                <w:rFonts w:ascii="Times New Roman" w:hAnsi="Times New Roman"/>
                <w:color w:val="000000"/>
                <w:sz w:val="16"/>
                <w:szCs w:val="16"/>
              </w:rPr>
            </w:pPr>
            <w:r>
              <w:rPr>
                <w:rFonts w:ascii="Times New Roman" w:hAnsi="Times New Roman"/>
                <w:color w:val="000000"/>
                <w:sz w:val="16"/>
                <w:szCs w:val="16"/>
              </w:rPr>
              <w:t>1,60</w:t>
            </w:r>
          </w:p>
        </w:tc>
      </w:tr>
      <w:tr w:rsidR="002B2290" w:rsidRPr="0066079A" w14:paraId="31284DFC" w14:textId="77777777" w:rsidTr="00C0085E">
        <w:trPr>
          <w:trHeight w:val="351"/>
        </w:trPr>
        <w:tc>
          <w:tcPr>
            <w:tcW w:w="3126" w:type="dxa"/>
            <w:gridSpan w:val="4"/>
            <w:shd w:val="clear" w:color="auto" w:fill="FFFFFF"/>
            <w:vAlign w:val="center"/>
          </w:tcPr>
          <w:p w14:paraId="09BA919C" w14:textId="77777777"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t>JST</w:t>
            </w:r>
          </w:p>
        </w:tc>
        <w:tc>
          <w:tcPr>
            <w:tcW w:w="620" w:type="dxa"/>
            <w:gridSpan w:val="2"/>
            <w:shd w:val="clear" w:color="auto" w:fill="FFFFFF"/>
          </w:tcPr>
          <w:p w14:paraId="5570C066" w14:textId="2FFD4A21" w:rsidR="00137409" w:rsidRPr="007002D7" w:rsidRDefault="00137409" w:rsidP="00180F9D">
            <w:pPr>
              <w:spacing w:line="240" w:lineRule="auto"/>
              <w:rPr>
                <w:rFonts w:ascii="Times New Roman" w:hAnsi="Times New Roman"/>
                <w:color w:val="000000"/>
                <w:sz w:val="16"/>
                <w:szCs w:val="16"/>
              </w:rPr>
            </w:pPr>
          </w:p>
        </w:tc>
        <w:tc>
          <w:tcPr>
            <w:tcW w:w="621" w:type="dxa"/>
            <w:gridSpan w:val="2"/>
            <w:shd w:val="clear" w:color="auto" w:fill="FFFFFF"/>
          </w:tcPr>
          <w:p w14:paraId="6191E1C5" w14:textId="23119D45" w:rsidR="00137409" w:rsidRPr="007002D7" w:rsidRDefault="00137409" w:rsidP="00180F9D">
            <w:pPr>
              <w:spacing w:line="240" w:lineRule="auto"/>
              <w:rPr>
                <w:rFonts w:ascii="Times New Roman" w:hAnsi="Times New Roman"/>
                <w:color w:val="000000"/>
                <w:sz w:val="16"/>
                <w:szCs w:val="16"/>
              </w:rPr>
            </w:pPr>
          </w:p>
        </w:tc>
        <w:tc>
          <w:tcPr>
            <w:tcW w:w="620" w:type="dxa"/>
            <w:gridSpan w:val="3"/>
            <w:shd w:val="clear" w:color="auto" w:fill="FFFFFF"/>
          </w:tcPr>
          <w:p w14:paraId="348F1ECE" w14:textId="77777777" w:rsidR="00137409" w:rsidRPr="007002D7" w:rsidRDefault="00137409" w:rsidP="00180F9D">
            <w:pPr>
              <w:spacing w:line="240" w:lineRule="auto"/>
              <w:rPr>
                <w:rFonts w:ascii="Times New Roman" w:hAnsi="Times New Roman"/>
                <w:color w:val="000000"/>
                <w:sz w:val="16"/>
                <w:szCs w:val="16"/>
              </w:rPr>
            </w:pPr>
          </w:p>
        </w:tc>
        <w:tc>
          <w:tcPr>
            <w:tcW w:w="621" w:type="dxa"/>
            <w:gridSpan w:val="2"/>
            <w:shd w:val="clear" w:color="auto" w:fill="FFFFFF"/>
          </w:tcPr>
          <w:p w14:paraId="719D8F50" w14:textId="77777777" w:rsidR="00137409" w:rsidRPr="007002D7" w:rsidRDefault="00137409" w:rsidP="00180F9D">
            <w:pPr>
              <w:spacing w:line="240" w:lineRule="auto"/>
              <w:rPr>
                <w:rFonts w:ascii="Times New Roman" w:hAnsi="Times New Roman"/>
                <w:color w:val="000000"/>
                <w:sz w:val="16"/>
                <w:szCs w:val="16"/>
              </w:rPr>
            </w:pPr>
          </w:p>
        </w:tc>
        <w:tc>
          <w:tcPr>
            <w:tcW w:w="620" w:type="dxa"/>
            <w:gridSpan w:val="2"/>
            <w:shd w:val="clear" w:color="auto" w:fill="FFFFFF"/>
          </w:tcPr>
          <w:p w14:paraId="448FDF08" w14:textId="77777777" w:rsidR="00137409" w:rsidRPr="007002D7" w:rsidRDefault="00137409" w:rsidP="00180F9D">
            <w:pPr>
              <w:spacing w:line="240" w:lineRule="auto"/>
              <w:rPr>
                <w:rFonts w:ascii="Times New Roman" w:hAnsi="Times New Roman"/>
                <w:color w:val="000000"/>
                <w:sz w:val="16"/>
                <w:szCs w:val="16"/>
              </w:rPr>
            </w:pPr>
          </w:p>
        </w:tc>
        <w:tc>
          <w:tcPr>
            <w:tcW w:w="621" w:type="dxa"/>
            <w:gridSpan w:val="3"/>
            <w:shd w:val="clear" w:color="auto" w:fill="FFFFFF"/>
          </w:tcPr>
          <w:p w14:paraId="5E6C1031" w14:textId="77777777" w:rsidR="00137409" w:rsidRPr="007002D7" w:rsidRDefault="00137409" w:rsidP="00180F9D">
            <w:pPr>
              <w:spacing w:line="240" w:lineRule="auto"/>
              <w:rPr>
                <w:rFonts w:ascii="Times New Roman" w:hAnsi="Times New Roman"/>
                <w:color w:val="000000"/>
                <w:sz w:val="16"/>
                <w:szCs w:val="16"/>
              </w:rPr>
            </w:pPr>
          </w:p>
        </w:tc>
        <w:tc>
          <w:tcPr>
            <w:tcW w:w="620" w:type="dxa"/>
            <w:gridSpan w:val="2"/>
            <w:shd w:val="clear" w:color="auto" w:fill="FFFFFF"/>
          </w:tcPr>
          <w:p w14:paraId="72B62348" w14:textId="77777777" w:rsidR="00137409" w:rsidRPr="007002D7" w:rsidRDefault="00137409" w:rsidP="00180F9D">
            <w:pPr>
              <w:spacing w:line="240" w:lineRule="auto"/>
              <w:rPr>
                <w:rFonts w:ascii="Times New Roman" w:hAnsi="Times New Roman"/>
                <w:color w:val="000000"/>
                <w:sz w:val="16"/>
                <w:szCs w:val="16"/>
              </w:rPr>
            </w:pPr>
          </w:p>
        </w:tc>
        <w:tc>
          <w:tcPr>
            <w:tcW w:w="621" w:type="dxa"/>
            <w:gridSpan w:val="3"/>
            <w:shd w:val="clear" w:color="auto" w:fill="FFFFFF"/>
          </w:tcPr>
          <w:p w14:paraId="5074682F" w14:textId="77777777" w:rsidR="00137409" w:rsidRPr="007002D7" w:rsidRDefault="00137409" w:rsidP="00180F9D">
            <w:pPr>
              <w:spacing w:line="240" w:lineRule="auto"/>
              <w:rPr>
                <w:rFonts w:ascii="Times New Roman" w:hAnsi="Times New Roman"/>
                <w:color w:val="000000"/>
                <w:sz w:val="16"/>
                <w:szCs w:val="16"/>
              </w:rPr>
            </w:pPr>
          </w:p>
        </w:tc>
        <w:tc>
          <w:tcPr>
            <w:tcW w:w="620" w:type="dxa"/>
            <w:gridSpan w:val="2"/>
            <w:shd w:val="clear" w:color="auto" w:fill="FFFFFF"/>
          </w:tcPr>
          <w:p w14:paraId="1CCDA3A0" w14:textId="77777777" w:rsidR="00137409" w:rsidRPr="007002D7" w:rsidRDefault="00137409" w:rsidP="00180F9D">
            <w:pPr>
              <w:spacing w:line="240" w:lineRule="auto"/>
              <w:rPr>
                <w:rFonts w:ascii="Times New Roman" w:hAnsi="Times New Roman"/>
                <w:color w:val="000000"/>
                <w:sz w:val="16"/>
                <w:szCs w:val="16"/>
              </w:rPr>
            </w:pPr>
          </w:p>
        </w:tc>
        <w:tc>
          <w:tcPr>
            <w:tcW w:w="621" w:type="dxa"/>
            <w:shd w:val="clear" w:color="auto" w:fill="FFFFFF"/>
          </w:tcPr>
          <w:p w14:paraId="180AEEB8" w14:textId="77777777" w:rsidR="00137409" w:rsidRPr="007002D7" w:rsidRDefault="00137409" w:rsidP="00180F9D">
            <w:pPr>
              <w:spacing w:line="240" w:lineRule="auto"/>
              <w:rPr>
                <w:rFonts w:ascii="Times New Roman" w:hAnsi="Times New Roman"/>
                <w:color w:val="000000"/>
                <w:sz w:val="16"/>
                <w:szCs w:val="16"/>
              </w:rPr>
            </w:pPr>
          </w:p>
        </w:tc>
        <w:tc>
          <w:tcPr>
            <w:tcW w:w="621" w:type="dxa"/>
            <w:gridSpan w:val="2"/>
            <w:shd w:val="clear" w:color="auto" w:fill="FFFFFF"/>
          </w:tcPr>
          <w:p w14:paraId="7674C828" w14:textId="77777777" w:rsidR="00137409" w:rsidRPr="007002D7" w:rsidRDefault="00137409" w:rsidP="00180F9D">
            <w:pPr>
              <w:spacing w:line="240" w:lineRule="auto"/>
              <w:rPr>
                <w:rFonts w:ascii="Times New Roman" w:hAnsi="Times New Roman"/>
                <w:color w:val="000000"/>
                <w:sz w:val="16"/>
                <w:szCs w:val="16"/>
              </w:rPr>
            </w:pPr>
          </w:p>
        </w:tc>
        <w:tc>
          <w:tcPr>
            <w:tcW w:w="998" w:type="dxa"/>
            <w:gridSpan w:val="2"/>
            <w:shd w:val="clear" w:color="auto" w:fill="FFFFFF"/>
          </w:tcPr>
          <w:p w14:paraId="792F9306" w14:textId="75CB2C44" w:rsidR="00137409" w:rsidRPr="007002D7" w:rsidRDefault="00137409" w:rsidP="00180F9D">
            <w:pPr>
              <w:spacing w:line="240" w:lineRule="auto"/>
              <w:rPr>
                <w:rFonts w:ascii="Times New Roman" w:hAnsi="Times New Roman"/>
                <w:color w:val="000000"/>
                <w:sz w:val="16"/>
                <w:szCs w:val="16"/>
              </w:rPr>
            </w:pPr>
          </w:p>
        </w:tc>
      </w:tr>
      <w:tr w:rsidR="002B2290" w:rsidRPr="0066079A" w14:paraId="78BBFC60" w14:textId="77777777" w:rsidTr="00C0085E">
        <w:trPr>
          <w:trHeight w:val="351"/>
        </w:trPr>
        <w:tc>
          <w:tcPr>
            <w:tcW w:w="3126" w:type="dxa"/>
            <w:gridSpan w:val="4"/>
            <w:shd w:val="clear" w:color="auto" w:fill="FFFFFF"/>
            <w:vAlign w:val="center"/>
          </w:tcPr>
          <w:p w14:paraId="72447950" w14:textId="77777777"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t>pozostałe jednostki (oddzielnie)</w:t>
            </w:r>
          </w:p>
        </w:tc>
        <w:tc>
          <w:tcPr>
            <w:tcW w:w="620" w:type="dxa"/>
            <w:gridSpan w:val="2"/>
            <w:shd w:val="clear" w:color="auto" w:fill="FFFFFF"/>
          </w:tcPr>
          <w:p w14:paraId="47EED7D1" w14:textId="1EEAFC7C" w:rsidR="00137409" w:rsidRPr="007002D7" w:rsidRDefault="00913057" w:rsidP="00180F9D">
            <w:pPr>
              <w:spacing w:line="240" w:lineRule="auto"/>
              <w:rPr>
                <w:rFonts w:ascii="Times New Roman" w:hAnsi="Times New Roman"/>
                <w:color w:val="000000"/>
                <w:sz w:val="16"/>
                <w:szCs w:val="16"/>
              </w:rPr>
            </w:pPr>
            <w:r>
              <w:rPr>
                <w:rFonts w:ascii="Times New Roman" w:hAnsi="Times New Roman"/>
                <w:color w:val="000000"/>
                <w:sz w:val="16"/>
                <w:szCs w:val="16"/>
              </w:rPr>
              <w:t>3,3</w:t>
            </w:r>
          </w:p>
        </w:tc>
        <w:tc>
          <w:tcPr>
            <w:tcW w:w="621" w:type="dxa"/>
            <w:gridSpan w:val="2"/>
            <w:shd w:val="clear" w:color="auto" w:fill="FFFFFF"/>
          </w:tcPr>
          <w:p w14:paraId="30DA3A2E" w14:textId="2CD816BB" w:rsidR="00137409" w:rsidRPr="007002D7" w:rsidRDefault="00137409" w:rsidP="00180F9D">
            <w:pPr>
              <w:spacing w:line="240" w:lineRule="auto"/>
              <w:rPr>
                <w:rFonts w:ascii="Times New Roman" w:hAnsi="Times New Roman"/>
                <w:color w:val="000000"/>
                <w:sz w:val="16"/>
                <w:szCs w:val="16"/>
              </w:rPr>
            </w:pPr>
            <w:r>
              <w:rPr>
                <w:rFonts w:ascii="Times New Roman" w:hAnsi="Times New Roman"/>
                <w:color w:val="000000"/>
                <w:sz w:val="16"/>
                <w:szCs w:val="16"/>
              </w:rPr>
              <w:t>1,</w:t>
            </w:r>
            <w:r w:rsidR="00E20DE6">
              <w:rPr>
                <w:rFonts w:ascii="Times New Roman" w:hAnsi="Times New Roman"/>
                <w:color w:val="000000"/>
                <w:sz w:val="16"/>
                <w:szCs w:val="16"/>
              </w:rPr>
              <w:t>4</w:t>
            </w:r>
            <w:r>
              <w:rPr>
                <w:rFonts w:ascii="Times New Roman" w:hAnsi="Times New Roman"/>
                <w:color w:val="000000"/>
                <w:sz w:val="16"/>
                <w:szCs w:val="16"/>
              </w:rPr>
              <w:t>33</w:t>
            </w:r>
          </w:p>
        </w:tc>
        <w:tc>
          <w:tcPr>
            <w:tcW w:w="620" w:type="dxa"/>
            <w:gridSpan w:val="3"/>
            <w:shd w:val="clear" w:color="auto" w:fill="FFFFFF"/>
          </w:tcPr>
          <w:p w14:paraId="3EF6B49A" w14:textId="77777777" w:rsidR="00137409" w:rsidRPr="007002D7" w:rsidRDefault="00137409" w:rsidP="00180F9D">
            <w:pPr>
              <w:spacing w:line="240" w:lineRule="auto"/>
              <w:rPr>
                <w:rFonts w:ascii="Times New Roman" w:hAnsi="Times New Roman"/>
                <w:color w:val="000000"/>
                <w:sz w:val="16"/>
                <w:szCs w:val="16"/>
              </w:rPr>
            </w:pPr>
          </w:p>
        </w:tc>
        <w:tc>
          <w:tcPr>
            <w:tcW w:w="621" w:type="dxa"/>
            <w:gridSpan w:val="2"/>
            <w:shd w:val="clear" w:color="auto" w:fill="FFFFFF"/>
          </w:tcPr>
          <w:p w14:paraId="197B5323" w14:textId="77777777" w:rsidR="00137409" w:rsidRPr="007002D7" w:rsidRDefault="00137409" w:rsidP="00180F9D">
            <w:pPr>
              <w:spacing w:line="240" w:lineRule="auto"/>
              <w:rPr>
                <w:rFonts w:ascii="Times New Roman" w:hAnsi="Times New Roman"/>
                <w:color w:val="000000"/>
                <w:sz w:val="16"/>
                <w:szCs w:val="16"/>
              </w:rPr>
            </w:pPr>
          </w:p>
        </w:tc>
        <w:tc>
          <w:tcPr>
            <w:tcW w:w="620" w:type="dxa"/>
            <w:gridSpan w:val="2"/>
            <w:shd w:val="clear" w:color="auto" w:fill="FFFFFF"/>
          </w:tcPr>
          <w:p w14:paraId="2B311B5D" w14:textId="77777777" w:rsidR="00137409" w:rsidRPr="007002D7" w:rsidRDefault="00137409" w:rsidP="00180F9D">
            <w:pPr>
              <w:spacing w:line="240" w:lineRule="auto"/>
              <w:rPr>
                <w:rFonts w:ascii="Times New Roman" w:hAnsi="Times New Roman"/>
                <w:color w:val="000000"/>
                <w:sz w:val="16"/>
                <w:szCs w:val="16"/>
              </w:rPr>
            </w:pPr>
          </w:p>
        </w:tc>
        <w:tc>
          <w:tcPr>
            <w:tcW w:w="621" w:type="dxa"/>
            <w:gridSpan w:val="3"/>
            <w:shd w:val="clear" w:color="auto" w:fill="FFFFFF"/>
          </w:tcPr>
          <w:p w14:paraId="15F39ABA" w14:textId="77777777" w:rsidR="00137409" w:rsidRPr="007002D7" w:rsidRDefault="00137409" w:rsidP="00180F9D">
            <w:pPr>
              <w:spacing w:line="240" w:lineRule="auto"/>
              <w:rPr>
                <w:rFonts w:ascii="Times New Roman" w:hAnsi="Times New Roman"/>
                <w:color w:val="000000"/>
                <w:sz w:val="16"/>
                <w:szCs w:val="16"/>
              </w:rPr>
            </w:pPr>
          </w:p>
        </w:tc>
        <w:tc>
          <w:tcPr>
            <w:tcW w:w="620" w:type="dxa"/>
            <w:gridSpan w:val="2"/>
            <w:shd w:val="clear" w:color="auto" w:fill="FFFFFF"/>
          </w:tcPr>
          <w:p w14:paraId="3D83802D" w14:textId="77777777" w:rsidR="00137409" w:rsidRPr="007002D7" w:rsidRDefault="00137409" w:rsidP="00180F9D">
            <w:pPr>
              <w:spacing w:line="240" w:lineRule="auto"/>
              <w:rPr>
                <w:rFonts w:ascii="Times New Roman" w:hAnsi="Times New Roman"/>
                <w:color w:val="000000"/>
                <w:sz w:val="16"/>
                <w:szCs w:val="16"/>
              </w:rPr>
            </w:pPr>
          </w:p>
        </w:tc>
        <w:tc>
          <w:tcPr>
            <w:tcW w:w="621" w:type="dxa"/>
            <w:gridSpan w:val="3"/>
            <w:shd w:val="clear" w:color="auto" w:fill="FFFFFF"/>
          </w:tcPr>
          <w:p w14:paraId="78D9176F" w14:textId="77777777" w:rsidR="00137409" w:rsidRPr="007002D7" w:rsidRDefault="00137409" w:rsidP="00180F9D">
            <w:pPr>
              <w:spacing w:line="240" w:lineRule="auto"/>
              <w:rPr>
                <w:rFonts w:ascii="Times New Roman" w:hAnsi="Times New Roman"/>
                <w:color w:val="000000"/>
                <w:sz w:val="16"/>
                <w:szCs w:val="16"/>
              </w:rPr>
            </w:pPr>
          </w:p>
        </w:tc>
        <w:tc>
          <w:tcPr>
            <w:tcW w:w="620" w:type="dxa"/>
            <w:gridSpan w:val="2"/>
            <w:shd w:val="clear" w:color="auto" w:fill="FFFFFF"/>
          </w:tcPr>
          <w:p w14:paraId="3B64FC67" w14:textId="77777777" w:rsidR="00137409" w:rsidRPr="007002D7" w:rsidRDefault="00137409" w:rsidP="00180F9D">
            <w:pPr>
              <w:spacing w:line="240" w:lineRule="auto"/>
              <w:rPr>
                <w:rFonts w:ascii="Times New Roman" w:hAnsi="Times New Roman"/>
                <w:color w:val="000000"/>
                <w:sz w:val="16"/>
                <w:szCs w:val="16"/>
              </w:rPr>
            </w:pPr>
          </w:p>
        </w:tc>
        <w:tc>
          <w:tcPr>
            <w:tcW w:w="621" w:type="dxa"/>
            <w:shd w:val="clear" w:color="auto" w:fill="FFFFFF"/>
          </w:tcPr>
          <w:p w14:paraId="2C33D7A8" w14:textId="77777777" w:rsidR="00137409" w:rsidRPr="007002D7" w:rsidRDefault="00137409" w:rsidP="00180F9D">
            <w:pPr>
              <w:spacing w:line="240" w:lineRule="auto"/>
              <w:rPr>
                <w:rFonts w:ascii="Times New Roman" w:hAnsi="Times New Roman"/>
                <w:color w:val="000000"/>
                <w:sz w:val="16"/>
                <w:szCs w:val="16"/>
              </w:rPr>
            </w:pPr>
          </w:p>
        </w:tc>
        <w:tc>
          <w:tcPr>
            <w:tcW w:w="621" w:type="dxa"/>
            <w:gridSpan w:val="2"/>
            <w:shd w:val="clear" w:color="auto" w:fill="FFFFFF"/>
          </w:tcPr>
          <w:p w14:paraId="5BE51282" w14:textId="77777777" w:rsidR="00137409" w:rsidRPr="007002D7" w:rsidRDefault="00137409" w:rsidP="00180F9D">
            <w:pPr>
              <w:spacing w:line="240" w:lineRule="auto"/>
              <w:rPr>
                <w:rFonts w:ascii="Times New Roman" w:hAnsi="Times New Roman"/>
                <w:color w:val="000000"/>
                <w:sz w:val="16"/>
                <w:szCs w:val="16"/>
              </w:rPr>
            </w:pPr>
          </w:p>
        </w:tc>
        <w:tc>
          <w:tcPr>
            <w:tcW w:w="998" w:type="dxa"/>
            <w:gridSpan w:val="2"/>
            <w:shd w:val="clear" w:color="auto" w:fill="FFFFFF"/>
          </w:tcPr>
          <w:p w14:paraId="7E03F431" w14:textId="5394508F" w:rsidR="00137409" w:rsidRPr="007002D7" w:rsidRDefault="00913057" w:rsidP="00180F9D">
            <w:pPr>
              <w:spacing w:line="240" w:lineRule="auto"/>
              <w:rPr>
                <w:rFonts w:ascii="Times New Roman" w:hAnsi="Times New Roman"/>
                <w:color w:val="000000"/>
                <w:sz w:val="16"/>
                <w:szCs w:val="16"/>
              </w:rPr>
            </w:pPr>
            <w:r>
              <w:rPr>
                <w:rFonts w:ascii="Times New Roman" w:hAnsi="Times New Roman"/>
                <w:color w:val="000000"/>
                <w:sz w:val="16"/>
                <w:szCs w:val="16"/>
              </w:rPr>
              <w:t>4,733</w:t>
            </w:r>
          </w:p>
        </w:tc>
      </w:tr>
      <w:tr w:rsidR="002B2290" w:rsidRPr="0066079A" w14:paraId="6EEC00DF" w14:textId="77777777" w:rsidTr="00C0085E">
        <w:trPr>
          <w:trHeight w:val="360"/>
        </w:trPr>
        <w:tc>
          <w:tcPr>
            <w:tcW w:w="3126" w:type="dxa"/>
            <w:gridSpan w:val="4"/>
            <w:shd w:val="clear" w:color="auto" w:fill="FFFFFF"/>
            <w:vAlign w:val="center"/>
          </w:tcPr>
          <w:p w14:paraId="5ECDE363" w14:textId="77777777" w:rsidR="003728C3" w:rsidRPr="0066079A" w:rsidRDefault="003728C3" w:rsidP="00180F9D">
            <w:pPr>
              <w:spacing w:line="240" w:lineRule="auto"/>
              <w:rPr>
                <w:rFonts w:ascii="Times New Roman" w:hAnsi="Times New Roman"/>
                <w:color w:val="000000"/>
                <w:sz w:val="21"/>
                <w:szCs w:val="21"/>
              </w:rPr>
            </w:pPr>
            <w:r w:rsidRPr="0066079A">
              <w:rPr>
                <w:rFonts w:ascii="Times New Roman" w:hAnsi="Times New Roman"/>
                <w:b/>
                <w:color w:val="000000"/>
                <w:sz w:val="21"/>
                <w:szCs w:val="21"/>
              </w:rPr>
              <w:t>Saldo ogółem</w:t>
            </w:r>
          </w:p>
        </w:tc>
        <w:tc>
          <w:tcPr>
            <w:tcW w:w="620" w:type="dxa"/>
            <w:gridSpan w:val="2"/>
            <w:shd w:val="clear" w:color="auto" w:fill="FFFFFF"/>
          </w:tcPr>
          <w:p w14:paraId="1B993831" w14:textId="3C678BB0" w:rsidR="003728C3" w:rsidRPr="007002D7" w:rsidRDefault="00913057" w:rsidP="00180F9D">
            <w:pPr>
              <w:spacing w:line="240" w:lineRule="auto"/>
              <w:rPr>
                <w:rFonts w:ascii="Times New Roman" w:hAnsi="Times New Roman"/>
                <w:color w:val="000000"/>
                <w:sz w:val="16"/>
                <w:szCs w:val="16"/>
              </w:rPr>
            </w:pPr>
            <w:r>
              <w:rPr>
                <w:rFonts w:ascii="Times New Roman" w:hAnsi="Times New Roman"/>
                <w:color w:val="000000"/>
                <w:sz w:val="16"/>
                <w:szCs w:val="16"/>
              </w:rPr>
              <w:t>-4,57</w:t>
            </w:r>
          </w:p>
        </w:tc>
        <w:tc>
          <w:tcPr>
            <w:tcW w:w="621" w:type="dxa"/>
            <w:gridSpan w:val="2"/>
            <w:shd w:val="clear" w:color="auto" w:fill="FFFFFF"/>
          </w:tcPr>
          <w:p w14:paraId="600D6081" w14:textId="4BA9A010" w:rsidR="003728C3" w:rsidRPr="007002D7" w:rsidRDefault="003728C3" w:rsidP="00180F9D">
            <w:pPr>
              <w:spacing w:line="240" w:lineRule="auto"/>
              <w:rPr>
                <w:rFonts w:ascii="Times New Roman" w:hAnsi="Times New Roman"/>
                <w:color w:val="000000"/>
                <w:sz w:val="16"/>
                <w:szCs w:val="16"/>
              </w:rPr>
            </w:pPr>
            <w:r>
              <w:rPr>
                <w:rFonts w:ascii="Times New Roman" w:hAnsi="Times New Roman"/>
                <w:color w:val="000000"/>
                <w:sz w:val="16"/>
                <w:szCs w:val="16"/>
              </w:rPr>
              <w:t>-1,</w:t>
            </w:r>
            <w:r w:rsidR="00E20DE6">
              <w:rPr>
                <w:rFonts w:ascii="Times New Roman" w:hAnsi="Times New Roman"/>
                <w:color w:val="000000"/>
                <w:sz w:val="16"/>
                <w:szCs w:val="16"/>
              </w:rPr>
              <w:t>7</w:t>
            </w:r>
            <w:r>
              <w:rPr>
                <w:rFonts w:ascii="Times New Roman" w:hAnsi="Times New Roman"/>
                <w:color w:val="000000"/>
                <w:sz w:val="16"/>
                <w:szCs w:val="16"/>
              </w:rPr>
              <w:t>53</w:t>
            </w:r>
          </w:p>
        </w:tc>
        <w:tc>
          <w:tcPr>
            <w:tcW w:w="620" w:type="dxa"/>
            <w:gridSpan w:val="3"/>
            <w:shd w:val="clear" w:color="auto" w:fill="FFFFFF"/>
          </w:tcPr>
          <w:p w14:paraId="7C3C113F" w14:textId="78F3F62D" w:rsidR="003728C3" w:rsidRPr="007002D7" w:rsidRDefault="003728C3" w:rsidP="00180F9D">
            <w:pPr>
              <w:spacing w:line="240" w:lineRule="auto"/>
              <w:rPr>
                <w:rFonts w:ascii="Times New Roman" w:hAnsi="Times New Roman"/>
                <w:color w:val="000000"/>
                <w:sz w:val="16"/>
                <w:szCs w:val="16"/>
              </w:rPr>
            </w:pPr>
            <w:r>
              <w:rPr>
                <w:rFonts w:ascii="Times New Roman" w:hAnsi="Times New Roman"/>
                <w:color w:val="000000"/>
                <w:sz w:val="16"/>
                <w:szCs w:val="16"/>
              </w:rPr>
              <w:t>-0,002</w:t>
            </w:r>
          </w:p>
        </w:tc>
        <w:tc>
          <w:tcPr>
            <w:tcW w:w="621" w:type="dxa"/>
            <w:gridSpan w:val="2"/>
            <w:shd w:val="clear" w:color="auto" w:fill="FFFFFF"/>
          </w:tcPr>
          <w:p w14:paraId="276E9CAB" w14:textId="4238107D" w:rsidR="003728C3" w:rsidRPr="007002D7" w:rsidRDefault="003728C3" w:rsidP="00180F9D">
            <w:pPr>
              <w:spacing w:line="240" w:lineRule="auto"/>
              <w:rPr>
                <w:rFonts w:ascii="Times New Roman" w:hAnsi="Times New Roman"/>
                <w:color w:val="000000"/>
                <w:sz w:val="16"/>
                <w:szCs w:val="16"/>
              </w:rPr>
            </w:pPr>
            <w:r>
              <w:rPr>
                <w:rFonts w:ascii="Times New Roman" w:hAnsi="Times New Roman"/>
                <w:color w:val="000000"/>
                <w:sz w:val="16"/>
                <w:szCs w:val="16"/>
              </w:rPr>
              <w:t>-0,001</w:t>
            </w:r>
          </w:p>
        </w:tc>
        <w:tc>
          <w:tcPr>
            <w:tcW w:w="620" w:type="dxa"/>
            <w:gridSpan w:val="2"/>
            <w:shd w:val="clear" w:color="auto" w:fill="FFFFFF"/>
          </w:tcPr>
          <w:p w14:paraId="597D0C7C" w14:textId="7BDD53DD" w:rsidR="003728C3" w:rsidRPr="007002D7" w:rsidRDefault="003728C3" w:rsidP="00180F9D">
            <w:pPr>
              <w:spacing w:line="240" w:lineRule="auto"/>
              <w:rPr>
                <w:rFonts w:ascii="Times New Roman" w:hAnsi="Times New Roman"/>
                <w:color w:val="000000"/>
                <w:sz w:val="16"/>
                <w:szCs w:val="16"/>
              </w:rPr>
            </w:pPr>
            <w:r>
              <w:rPr>
                <w:rFonts w:ascii="Times New Roman" w:hAnsi="Times New Roman"/>
                <w:color w:val="000000"/>
                <w:sz w:val="16"/>
                <w:szCs w:val="16"/>
              </w:rPr>
              <w:t>-0,001</w:t>
            </w:r>
          </w:p>
        </w:tc>
        <w:tc>
          <w:tcPr>
            <w:tcW w:w="621" w:type="dxa"/>
            <w:gridSpan w:val="3"/>
            <w:shd w:val="clear" w:color="auto" w:fill="FFFFFF"/>
          </w:tcPr>
          <w:p w14:paraId="2D54CC03" w14:textId="74E737EC" w:rsidR="003728C3" w:rsidRPr="007002D7" w:rsidRDefault="003728C3" w:rsidP="00180F9D">
            <w:pPr>
              <w:spacing w:line="240" w:lineRule="auto"/>
              <w:rPr>
                <w:rFonts w:ascii="Times New Roman" w:hAnsi="Times New Roman"/>
                <w:color w:val="000000"/>
                <w:sz w:val="16"/>
                <w:szCs w:val="16"/>
              </w:rPr>
            </w:pPr>
            <w:r>
              <w:rPr>
                <w:rFonts w:ascii="Times New Roman" w:hAnsi="Times New Roman"/>
                <w:color w:val="000000"/>
                <w:sz w:val="16"/>
                <w:szCs w:val="16"/>
              </w:rPr>
              <w:t>-0,001</w:t>
            </w:r>
          </w:p>
        </w:tc>
        <w:tc>
          <w:tcPr>
            <w:tcW w:w="620" w:type="dxa"/>
            <w:gridSpan w:val="2"/>
            <w:shd w:val="clear" w:color="auto" w:fill="FFFFFF"/>
          </w:tcPr>
          <w:p w14:paraId="29235633" w14:textId="655955A3" w:rsidR="003728C3" w:rsidRPr="007002D7" w:rsidRDefault="003728C3" w:rsidP="00180F9D">
            <w:pPr>
              <w:spacing w:line="240" w:lineRule="auto"/>
              <w:rPr>
                <w:rFonts w:ascii="Times New Roman" w:hAnsi="Times New Roman"/>
                <w:color w:val="000000"/>
                <w:sz w:val="16"/>
                <w:szCs w:val="16"/>
              </w:rPr>
            </w:pPr>
            <w:r>
              <w:rPr>
                <w:rFonts w:ascii="Times New Roman" w:hAnsi="Times New Roman"/>
                <w:color w:val="000000"/>
                <w:sz w:val="16"/>
                <w:szCs w:val="16"/>
              </w:rPr>
              <w:t>-0,001</w:t>
            </w:r>
          </w:p>
        </w:tc>
        <w:tc>
          <w:tcPr>
            <w:tcW w:w="621" w:type="dxa"/>
            <w:gridSpan w:val="3"/>
            <w:shd w:val="clear" w:color="auto" w:fill="FFFFFF"/>
          </w:tcPr>
          <w:p w14:paraId="4BAEA477" w14:textId="2F3746A0" w:rsidR="003728C3" w:rsidRPr="007002D7" w:rsidRDefault="003728C3" w:rsidP="00180F9D">
            <w:pPr>
              <w:spacing w:line="240" w:lineRule="auto"/>
              <w:rPr>
                <w:rFonts w:ascii="Times New Roman" w:hAnsi="Times New Roman"/>
                <w:color w:val="000000"/>
                <w:sz w:val="16"/>
                <w:szCs w:val="16"/>
              </w:rPr>
            </w:pPr>
            <w:r>
              <w:rPr>
                <w:rFonts w:ascii="Times New Roman" w:hAnsi="Times New Roman"/>
                <w:color w:val="000000"/>
                <w:sz w:val="16"/>
                <w:szCs w:val="16"/>
              </w:rPr>
              <w:t>-0,001</w:t>
            </w:r>
          </w:p>
        </w:tc>
        <w:tc>
          <w:tcPr>
            <w:tcW w:w="620" w:type="dxa"/>
            <w:gridSpan w:val="2"/>
            <w:shd w:val="clear" w:color="auto" w:fill="FFFFFF"/>
          </w:tcPr>
          <w:p w14:paraId="05E83D14" w14:textId="769D3DFD" w:rsidR="003728C3" w:rsidRPr="007002D7" w:rsidRDefault="003728C3" w:rsidP="00180F9D">
            <w:pPr>
              <w:spacing w:line="240" w:lineRule="auto"/>
              <w:rPr>
                <w:rFonts w:ascii="Times New Roman" w:hAnsi="Times New Roman"/>
                <w:color w:val="000000"/>
                <w:sz w:val="16"/>
                <w:szCs w:val="16"/>
              </w:rPr>
            </w:pPr>
            <w:r>
              <w:rPr>
                <w:rFonts w:ascii="Times New Roman" w:hAnsi="Times New Roman"/>
                <w:color w:val="000000"/>
                <w:sz w:val="16"/>
                <w:szCs w:val="16"/>
              </w:rPr>
              <w:t>-0,001</w:t>
            </w:r>
          </w:p>
        </w:tc>
        <w:tc>
          <w:tcPr>
            <w:tcW w:w="621" w:type="dxa"/>
            <w:shd w:val="clear" w:color="auto" w:fill="FFFFFF"/>
          </w:tcPr>
          <w:p w14:paraId="397BE58F" w14:textId="09601943" w:rsidR="003728C3" w:rsidRPr="007002D7" w:rsidRDefault="003728C3" w:rsidP="00180F9D">
            <w:pPr>
              <w:spacing w:line="240" w:lineRule="auto"/>
              <w:rPr>
                <w:rFonts w:ascii="Times New Roman" w:hAnsi="Times New Roman"/>
                <w:color w:val="000000"/>
                <w:sz w:val="16"/>
                <w:szCs w:val="16"/>
              </w:rPr>
            </w:pPr>
            <w:r>
              <w:rPr>
                <w:rFonts w:ascii="Times New Roman" w:hAnsi="Times New Roman"/>
                <w:color w:val="000000"/>
                <w:sz w:val="16"/>
                <w:szCs w:val="16"/>
              </w:rPr>
              <w:t>-0,001</w:t>
            </w:r>
          </w:p>
        </w:tc>
        <w:tc>
          <w:tcPr>
            <w:tcW w:w="621" w:type="dxa"/>
            <w:gridSpan w:val="2"/>
            <w:shd w:val="clear" w:color="auto" w:fill="FFFFFF"/>
          </w:tcPr>
          <w:p w14:paraId="612268C0" w14:textId="46B5C6AD" w:rsidR="003728C3" w:rsidRPr="007002D7" w:rsidRDefault="003728C3" w:rsidP="00180F9D">
            <w:pPr>
              <w:spacing w:line="240" w:lineRule="auto"/>
              <w:rPr>
                <w:rFonts w:ascii="Times New Roman" w:hAnsi="Times New Roman"/>
                <w:color w:val="000000"/>
                <w:sz w:val="16"/>
                <w:szCs w:val="16"/>
              </w:rPr>
            </w:pPr>
            <w:r>
              <w:rPr>
                <w:rFonts w:ascii="Times New Roman" w:hAnsi="Times New Roman"/>
                <w:color w:val="000000"/>
                <w:sz w:val="16"/>
                <w:szCs w:val="16"/>
              </w:rPr>
              <w:t>-0,001</w:t>
            </w:r>
          </w:p>
        </w:tc>
        <w:tc>
          <w:tcPr>
            <w:tcW w:w="998" w:type="dxa"/>
            <w:gridSpan w:val="2"/>
            <w:shd w:val="clear" w:color="auto" w:fill="FFFFFF"/>
          </w:tcPr>
          <w:p w14:paraId="00198ABC" w14:textId="33F6CA8E" w:rsidR="003728C3" w:rsidRPr="007002D7" w:rsidRDefault="003728C3" w:rsidP="00180F9D">
            <w:pPr>
              <w:spacing w:line="240" w:lineRule="auto"/>
              <w:rPr>
                <w:rFonts w:ascii="Times New Roman" w:hAnsi="Times New Roman"/>
                <w:color w:val="000000"/>
                <w:sz w:val="16"/>
                <w:szCs w:val="16"/>
              </w:rPr>
            </w:pPr>
            <w:r>
              <w:rPr>
                <w:rFonts w:ascii="Times New Roman" w:hAnsi="Times New Roman"/>
                <w:color w:val="000000"/>
                <w:sz w:val="16"/>
                <w:szCs w:val="16"/>
              </w:rPr>
              <w:t>-</w:t>
            </w:r>
            <w:r w:rsidR="00913057">
              <w:rPr>
                <w:rFonts w:ascii="Times New Roman" w:hAnsi="Times New Roman"/>
                <w:color w:val="000000"/>
                <w:sz w:val="16"/>
                <w:szCs w:val="16"/>
              </w:rPr>
              <w:t>6,333</w:t>
            </w:r>
          </w:p>
        </w:tc>
      </w:tr>
      <w:tr w:rsidR="002B2290" w:rsidRPr="0066079A" w14:paraId="3CDE3F1E" w14:textId="77777777" w:rsidTr="00C0085E">
        <w:trPr>
          <w:trHeight w:val="360"/>
        </w:trPr>
        <w:tc>
          <w:tcPr>
            <w:tcW w:w="3126" w:type="dxa"/>
            <w:gridSpan w:val="4"/>
            <w:shd w:val="clear" w:color="auto" w:fill="FFFFFF"/>
            <w:vAlign w:val="center"/>
          </w:tcPr>
          <w:p w14:paraId="6EEA5C27" w14:textId="77777777" w:rsidR="00B52A7C" w:rsidRPr="0066079A" w:rsidRDefault="00B52A7C"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t>budżet państwa</w:t>
            </w:r>
          </w:p>
        </w:tc>
        <w:tc>
          <w:tcPr>
            <w:tcW w:w="620" w:type="dxa"/>
            <w:gridSpan w:val="2"/>
            <w:shd w:val="clear" w:color="auto" w:fill="FFFFFF"/>
          </w:tcPr>
          <w:p w14:paraId="2FDE366F" w14:textId="2D9B5DAF" w:rsidR="00B52A7C" w:rsidRPr="007002D7" w:rsidRDefault="003D3AC8" w:rsidP="00180F9D">
            <w:pPr>
              <w:spacing w:line="240" w:lineRule="auto"/>
              <w:rPr>
                <w:rFonts w:ascii="Times New Roman" w:hAnsi="Times New Roman"/>
                <w:color w:val="000000"/>
                <w:sz w:val="16"/>
                <w:szCs w:val="16"/>
              </w:rPr>
            </w:pPr>
            <w:r>
              <w:rPr>
                <w:rFonts w:ascii="Times New Roman" w:hAnsi="Times New Roman"/>
                <w:color w:val="000000"/>
                <w:sz w:val="16"/>
                <w:szCs w:val="16"/>
              </w:rPr>
              <w:t>-</w:t>
            </w:r>
            <w:r w:rsidR="00B52A7C">
              <w:rPr>
                <w:rFonts w:ascii="Times New Roman" w:hAnsi="Times New Roman"/>
                <w:color w:val="000000"/>
                <w:sz w:val="16"/>
                <w:szCs w:val="16"/>
              </w:rPr>
              <w:t>1,2</w:t>
            </w:r>
            <w:r w:rsidR="005070F8">
              <w:rPr>
                <w:rFonts w:ascii="Times New Roman" w:hAnsi="Times New Roman"/>
                <w:color w:val="000000"/>
                <w:sz w:val="16"/>
                <w:szCs w:val="16"/>
              </w:rPr>
              <w:t>7</w:t>
            </w:r>
          </w:p>
        </w:tc>
        <w:tc>
          <w:tcPr>
            <w:tcW w:w="621" w:type="dxa"/>
            <w:gridSpan w:val="2"/>
            <w:shd w:val="clear" w:color="auto" w:fill="FFFFFF"/>
          </w:tcPr>
          <w:p w14:paraId="7ADB1A4F" w14:textId="2DB8BB1F" w:rsidR="00B52A7C" w:rsidRPr="007002D7" w:rsidRDefault="003D3AC8" w:rsidP="00180F9D">
            <w:pPr>
              <w:spacing w:line="240" w:lineRule="auto"/>
              <w:rPr>
                <w:rFonts w:ascii="Times New Roman" w:hAnsi="Times New Roman"/>
                <w:color w:val="000000"/>
                <w:sz w:val="16"/>
                <w:szCs w:val="16"/>
              </w:rPr>
            </w:pPr>
            <w:r>
              <w:rPr>
                <w:rFonts w:ascii="Times New Roman" w:hAnsi="Times New Roman"/>
                <w:color w:val="000000"/>
                <w:sz w:val="16"/>
                <w:szCs w:val="16"/>
              </w:rPr>
              <w:t>-</w:t>
            </w:r>
            <w:r w:rsidR="00B52A7C">
              <w:rPr>
                <w:rFonts w:ascii="Times New Roman" w:hAnsi="Times New Roman"/>
                <w:color w:val="000000"/>
                <w:sz w:val="16"/>
                <w:szCs w:val="16"/>
              </w:rPr>
              <w:t>0,32</w:t>
            </w:r>
          </w:p>
        </w:tc>
        <w:tc>
          <w:tcPr>
            <w:tcW w:w="620" w:type="dxa"/>
            <w:gridSpan w:val="3"/>
            <w:shd w:val="clear" w:color="auto" w:fill="FFFFFF"/>
          </w:tcPr>
          <w:p w14:paraId="428D4EAC" w14:textId="2B6F388D" w:rsidR="00B52A7C" w:rsidRPr="007002D7" w:rsidRDefault="005070F8" w:rsidP="00180F9D">
            <w:pPr>
              <w:spacing w:line="240" w:lineRule="auto"/>
              <w:rPr>
                <w:rFonts w:ascii="Times New Roman" w:hAnsi="Times New Roman"/>
                <w:color w:val="000000"/>
                <w:sz w:val="16"/>
                <w:szCs w:val="16"/>
              </w:rPr>
            </w:pPr>
            <w:r>
              <w:rPr>
                <w:rFonts w:ascii="Times New Roman" w:hAnsi="Times New Roman"/>
                <w:color w:val="000000"/>
                <w:sz w:val="16"/>
                <w:szCs w:val="16"/>
              </w:rPr>
              <w:t>-0,002</w:t>
            </w:r>
          </w:p>
        </w:tc>
        <w:tc>
          <w:tcPr>
            <w:tcW w:w="621" w:type="dxa"/>
            <w:gridSpan w:val="2"/>
            <w:shd w:val="clear" w:color="auto" w:fill="FFFFFF"/>
          </w:tcPr>
          <w:p w14:paraId="420FEDA2" w14:textId="7F2446C4" w:rsidR="00B52A7C" w:rsidRPr="007002D7" w:rsidRDefault="005070F8" w:rsidP="00180F9D">
            <w:pPr>
              <w:spacing w:line="240" w:lineRule="auto"/>
              <w:rPr>
                <w:rFonts w:ascii="Times New Roman" w:hAnsi="Times New Roman"/>
                <w:color w:val="000000"/>
                <w:sz w:val="16"/>
                <w:szCs w:val="16"/>
              </w:rPr>
            </w:pPr>
            <w:r>
              <w:rPr>
                <w:rFonts w:ascii="Times New Roman" w:hAnsi="Times New Roman"/>
                <w:color w:val="000000"/>
                <w:sz w:val="16"/>
                <w:szCs w:val="16"/>
              </w:rPr>
              <w:t>-0,00</w:t>
            </w:r>
            <w:r w:rsidR="00CA7E4B">
              <w:rPr>
                <w:rFonts w:ascii="Times New Roman" w:hAnsi="Times New Roman"/>
                <w:color w:val="000000"/>
                <w:sz w:val="16"/>
                <w:szCs w:val="16"/>
              </w:rPr>
              <w:t>1</w:t>
            </w:r>
          </w:p>
        </w:tc>
        <w:tc>
          <w:tcPr>
            <w:tcW w:w="620" w:type="dxa"/>
            <w:gridSpan w:val="2"/>
            <w:shd w:val="clear" w:color="auto" w:fill="FFFFFF"/>
          </w:tcPr>
          <w:p w14:paraId="781C2ED3" w14:textId="53FB794E" w:rsidR="00B52A7C" w:rsidRPr="007002D7" w:rsidRDefault="00CA7E4B" w:rsidP="00180F9D">
            <w:pPr>
              <w:spacing w:line="240" w:lineRule="auto"/>
              <w:rPr>
                <w:rFonts w:ascii="Times New Roman" w:hAnsi="Times New Roman"/>
                <w:color w:val="000000"/>
                <w:sz w:val="16"/>
                <w:szCs w:val="16"/>
              </w:rPr>
            </w:pPr>
            <w:r>
              <w:rPr>
                <w:rFonts w:ascii="Times New Roman" w:hAnsi="Times New Roman"/>
                <w:color w:val="000000"/>
                <w:sz w:val="16"/>
                <w:szCs w:val="16"/>
              </w:rPr>
              <w:t>-0,001</w:t>
            </w:r>
          </w:p>
        </w:tc>
        <w:tc>
          <w:tcPr>
            <w:tcW w:w="621" w:type="dxa"/>
            <w:gridSpan w:val="3"/>
            <w:shd w:val="clear" w:color="auto" w:fill="FFFFFF"/>
          </w:tcPr>
          <w:p w14:paraId="6C3D3FB9" w14:textId="5615D2CD" w:rsidR="00B52A7C" w:rsidRPr="007002D7" w:rsidRDefault="00CA7E4B" w:rsidP="00180F9D">
            <w:pPr>
              <w:spacing w:line="240" w:lineRule="auto"/>
              <w:rPr>
                <w:rFonts w:ascii="Times New Roman" w:hAnsi="Times New Roman"/>
                <w:color w:val="000000"/>
                <w:sz w:val="16"/>
                <w:szCs w:val="16"/>
              </w:rPr>
            </w:pPr>
            <w:r>
              <w:rPr>
                <w:rFonts w:ascii="Times New Roman" w:hAnsi="Times New Roman"/>
                <w:color w:val="000000"/>
                <w:sz w:val="16"/>
                <w:szCs w:val="16"/>
              </w:rPr>
              <w:t>-0,001</w:t>
            </w:r>
          </w:p>
        </w:tc>
        <w:tc>
          <w:tcPr>
            <w:tcW w:w="620" w:type="dxa"/>
            <w:gridSpan w:val="2"/>
            <w:shd w:val="clear" w:color="auto" w:fill="FFFFFF"/>
          </w:tcPr>
          <w:p w14:paraId="04C28BC7" w14:textId="3E4429C5" w:rsidR="00B52A7C" w:rsidRPr="007002D7" w:rsidRDefault="00CA7E4B" w:rsidP="00180F9D">
            <w:pPr>
              <w:spacing w:line="240" w:lineRule="auto"/>
              <w:rPr>
                <w:rFonts w:ascii="Times New Roman" w:hAnsi="Times New Roman"/>
                <w:color w:val="000000"/>
                <w:sz w:val="16"/>
                <w:szCs w:val="16"/>
              </w:rPr>
            </w:pPr>
            <w:r>
              <w:rPr>
                <w:rFonts w:ascii="Times New Roman" w:hAnsi="Times New Roman"/>
                <w:color w:val="000000"/>
                <w:sz w:val="16"/>
                <w:szCs w:val="16"/>
              </w:rPr>
              <w:t>-0,001</w:t>
            </w:r>
          </w:p>
        </w:tc>
        <w:tc>
          <w:tcPr>
            <w:tcW w:w="621" w:type="dxa"/>
            <w:gridSpan w:val="3"/>
            <w:shd w:val="clear" w:color="auto" w:fill="FFFFFF"/>
          </w:tcPr>
          <w:p w14:paraId="3679169A" w14:textId="1756496F" w:rsidR="00B52A7C" w:rsidRPr="007002D7" w:rsidRDefault="00CA7E4B" w:rsidP="00180F9D">
            <w:pPr>
              <w:spacing w:line="240" w:lineRule="auto"/>
              <w:rPr>
                <w:rFonts w:ascii="Times New Roman" w:hAnsi="Times New Roman"/>
                <w:color w:val="000000"/>
                <w:sz w:val="16"/>
                <w:szCs w:val="16"/>
              </w:rPr>
            </w:pPr>
            <w:r>
              <w:rPr>
                <w:rFonts w:ascii="Times New Roman" w:hAnsi="Times New Roman"/>
                <w:color w:val="000000"/>
                <w:sz w:val="16"/>
                <w:szCs w:val="16"/>
              </w:rPr>
              <w:t>-0,001</w:t>
            </w:r>
          </w:p>
        </w:tc>
        <w:tc>
          <w:tcPr>
            <w:tcW w:w="620" w:type="dxa"/>
            <w:gridSpan w:val="2"/>
            <w:shd w:val="clear" w:color="auto" w:fill="FFFFFF"/>
          </w:tcPr>
          <w:p w14:paraId="5E64EC75" w14:textId="4E76B5EE" w:rsidR="00B52A7C" w:rsidRPr="007002D7" w:rsidRDefault="00CA7E4B" w:rsidP="00180F9D">
            <w:pPr>
              <w:spacing w:line="240" w:lineRule="auto"/>
              <w:rPr>
                <w:rFonts w:ascii="Times New Roman" w:hAnsi="Times New Roman"/>
                <w:color w:val="000000"/>
                <w:sz w:val="16"/>
                <w:szCs w:val="16"/>
              </w:rPr>
            </w:pPr>
            <w:r>
              <w:rPr>
                <w:rFonts w:ascii="Times New Roman" w:hAnsi="Times New Roman"/>
                <w:color w:val="000000"/>
                <w:sz w:val="16"/>
                <w:szCs w:val="16"/>
              </w:rPr>
              <w:t>-0,001</w:t>
            </w:r>
          </w:p>
        </w:tc>
        <w:tc>
          <w:tcPr>
            <w:tcW w:w="621" w:type="dxa"/>
            <w:shd w:val="clear" w:color="auto" w:fill="FFFFFF"/>
          </w:tcPr>
          <w:p w14:paraId="60D02E87" w14:textId="0FCC6DAB" w:rsidR="00B52A7C" w:rsidRPr="007002D7" w:rsidRDefault="00CA7E4B" w:rsidP="00180F9D">
            <w:pPr>
              <w:spacing w:line="240" w:lineRule="auto"/>
              <w:rPr>
                <w:rFonts w:ascii="Times New Roman" w:hAnsi="Times New Roman"/>
                <w:color w:val="000000"/>
                <w:sz w:val="16"/>
                <w:szCs w:val="16"/>
              </w:rPr>
            </w:pPr>
            <w:r>
              <w:rPr>
                <w:rFonts w:ascii="Times New Roman" w:hAnsi="Times New Roman"/>
                <w:color w:val="000000"/>
                <w:sz w:val="16"/>
                <w:szCs w:val="16"/>
              </w:rPr>
              <w:t>-0,001</w:t>
            </w:r>
          </w:p>
        </w:tc>
        <w:tc>
          <w:tcPr>
            <w:tcW w:w="621" w:type="dxa"/>
            <w:gridSpan w:val="2"/>
            <w:shd w:val="clear" w:color="auto" w:fill="FFFFFF"/>
          </w:tcPr>
          <w:p w14:paraId="2D95CBB5" w14:textId="4DD5F462" w:rsidR="00B52A7C" w:rsidRPr="007002D7" w:rsidRDefault="00CA7E4B" w:rsidP="00180F9D">
            <w:pPr>
              <w:spacing w:line="240" w:lineRule="auto"/>
              <w:rPr>
                <w:rFonts w:ascii="Times New Roman" w:hAnsi="Times New Roman"/>
                <w:color w:val="000000"/>
                <w:sz w:val="16"/>
                <w:szCs w:val="16"/>
              </w:rPr>
            </w:pPr>
            <w:r>
              <w:rPr>
                <w:rFonts w:ascii="Times New Roman" w:hAnsi="Times New Roman"/>
                <w:color w:val="000000"/>
                <w:sz w:val="16"/>
                <w:szCs w:val="16"/>
              </w:rPr>
              <w:t>-0,001</w:t>
            </w:r>
          </w:p>
        </w:tc>
        <w:tc>
          <w:tcPr>
            <w:tcW w:w="998" w:type="dxa"/>
            <w:gridSpan w:val="2"/>
            <w:shd w:val="clear" w:color="auto" w:fill="FFFFFF"/>
          </w:tcPr>
          <w:p w14:paraId="66B4B059" w14:textId="4D562112" w:rsidR="00B52A7C" w:rsidRPr="007002D7" w:rsidRDefault="003D3AC8" w:rsidP="00180F9D">
            <w:pPr>
              <w:spacing w:line="240" w:lineRule="auto"/>
              <w:rPr>
                <w:rFonts w:ascii="Times New Roman" w:hAnsi="Times New Roman"/>
                <w:color w:val="000000"/>
                <w:sz w:val="16"/>
                <w:szCs w:val="16"/>
              </w:rPr>
            </w:pPr>
            <w:r>
              <w:rPr>
                <w:rFonts w:ascii="Times New Roman" w:hAnsi="Times New Roman"/>
                <w:color w:val="000000"/>
                <w:sz w:val="16"/>
                <w:szCs w:val="16"/>
              </w:rPr>
              <w:t>-</w:t>
            </w:r>
            <w:r w:rsidR="00B52A7C">
              <w:rPr>
                <w:rFonts w:ascii="Times New Roman" w:hAnsi="Times New Roman"/>
                <w:color w:val="000000"/>
                <w:sz w:val="16"/>
                <w:szCs w:val="16"/>
              </w:rPr>
              <w:t>1,60</w:t>
            </w:r>
          </w:p>
        </w:tc>
      </w:tr>
      <w:tr w:rsidR="002B2290" w:rsidRPr="0066079A" w14:paraId="0B2CD505" w14:textId="77777777" w:rsidTr="00C0085E">
        <w:trPr>
          <w:trHeight w:val="357"/>
        </w:trPr>
        <w:tc>
          <w:tcPr>
            <w:tcW w:w="3126" w:type="dxa"/>
            <w:gridSpan w:val="4"/>
            <w:shd w:val="clear" w:color="auto" w:fill="FFFFFF"/>
            <w:vAlign w:val="center"/>
          </w:tcPr>
          <w:p w14:paraId="3528343F" w14:textId="77777777" w:rsidR="00B52A7C" w:rsidRPr="0066079A" w:rsidRDefault="00B52A7C"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t>JST</w:t>
            </w:r>
          </w:p>
        </w:tc>
        <w:tc>
          <w:tcPr>
            <w:tcW w:w="620" w:type="dxa"/>
            <w:gridSpan w:val="2"/>
            <w:shd w:val="clear" w:color="auto" w:fill="FFFFFF"/>
          </w:tcPr>
          <w:p w14:paraId="62692043" w14:textId="28460235" w:rsidR="00B52A7C" w:rsidRPr="007002D7" w:rsidRDefault="00B52A7C" w:rsidP="00180F9D">
            <w:pPr>
              <w:spacing w:line="240" w:lineRule="auto"/>
              <w:rPr>
                <w:rFonts w:ascii="Times New Roman" w:hAnsi="Times New Roman"/>
                <w:color w:val="000000"/>
                <w:sz w:val="16"/>
                <w:szCs w:val="16"/>
              </w:rPr>
            </w:pPr>
          </w:p>
        </w:tc>
        <w:tc>
          <w:tcPr>
            <w:tcW w:w="621" w:type="dxa"/>
            <w:gridSpan w:val="2"/>
            <w:shd w:val="clear" w:color="auto" w:fill="FFFFFF"/>
          </w:tcPr>
          <w:p w14:paraId="7607A033" w14:textId="20CF7044" w:rsidR="00B52A7C" w:rsidRPr="007002D7" w:rsidRDefault="00B52A7C" w:rsidP="00180F9D">
            <w:pPr>
              <w:spacing w:line="240" w:lineRule="auto"/>
              <w:rPr>
                <w:rFonts w:ascii="Times New Roman" w:hAnsi="Times New Roman"/>
                <w:color w:val="000000"/>
                <w:sz w:val="16"/>
                <w:szCs w:val="16"/>
              </w:rPr>
            </w:pPr>
          </w:p>
        </w:tc>
        <w:tc>
          <w:tcPr>
            <w:tcW w:w="620" w:type="dxa"/>
            <w:gridSpan w:val="3"/>
            <w:shd w:val="clear" w:color="auto" w:fill="FFFFFF"/>
          </w:tcPr>
          <w:p w14:paraId="1D99BA04" w14:textId="77777777" w:rsidR="00B52A7C" w:rsidRPr="007002D7" w:rsidRDefault="00B52A7C" w:rsidP="00180F9D">
            <w:pPr>
              <w:spacing w:line="240" w:lineRule="auto"/>
              <w:rPr>
                <w:rFonts w:ascii="Times New Roman" w:hAnsi="Times New Roman"/>
                <w:color w:val="000000"/>
                <w:sz w:val="16"/>
                <w:szCs w:val="16"/>
              </w:rPr>
            </w:pPr>
          </w:p>
        </w:tc>
        <w:tc>
          <w:tcPr>
            <w:tcW w:w="621" w:type="dxa"/>
            <w:gridSpan w:val="2"/>
            <w:shd w:val="clear" w:color="auto" w:fill="FFFFFF"/>
          </w:tcPr>
          <w:p w14:paraId="2D81FE1A" w14:textId="77777777" w:rsidR="00B52A7C" w:rsidRPr="007002D7" w:rsidRDefault="00B52A7C" w:rsidP="00180F9D">
            <w:pPr>
              <w:spacing w:line="240" w:lineRule="auto"/>
              <w:rPr>
                <w:rFonts w:ascii="Times New Roman" w:hAnsi="Times New Roman"/>
                <w:color w:val="000000"/>
                <w:sz w:val="16"/>
                <w:szCs w:val="16"/>
              </w:rPr>
            </w:pPr>
          </w:p>
        </w:tc>
        <w:tc>
          <w:tcPr>
            <w:tcW w:w="620" w:type="dxa"/>
            <w:gridSpan w:val="2"/>
            <w:shd w:val="clear" w:color="auto" w:fill="FFFFFF"/>
          </w:tcPr>
          <w:p w14:paraId="6EFDEC55" w14:textId="77777777" w:rsidR="00B52A7C" w:rsidRPr="007002D7" w:rsidRDefault="00B52A7C" w:rsidP="00180F9D">
            <w:pPr>
              <w:spacing w:line="240" w:lineRule="auto"/>
              <w:rPr>
                <w:rFonts w:ascii="Times New Roman" w:hAnsi="Times New Roman"/>
                <w:color w:val="000000"/>
                <w:sz w:val="16"/>
                <w:szCs w:val="16"/>
              </w:rPr>
            </w:pPr>
          </w:p>
        </w:tc>
        <w:tc>
          <w:tcPr>
            <w:tcW w:w="621" w:type="dxa"/>
            <w:gridSpan w:val="3"/>
            <w:shd w:val="clear" w:color="auto" w:fill="FFFFFF"/>
          </w:tcPr>
          <w:p w14:paraId="1E605E42" w14:textId="77777777" w:rsidR="00B52A7C" w:rsidRPr="007002D7" w:rsidRDefault="00B52A7C" w:rsidP="00180F9D">
            <w:pPr>
              <w:spacing w:line="240" w:lineRule="auto"/>
              <w:rPr>
                <w:rFonts w:ascii="Times New Roman" w:hAnsi="Times New Roman"/>
                <w:color w:val="000000"/>
                <w:sz w:val="16"/>
                <w:szCs w:val="16"/>
              </w:rPr>
            </w:pPr>
          </w:p>
        </w:tc>
        <w:tc>
          <w:tcPr>
            <w:tcW w:w="620" w:type="dxa"/>
            <w:gridSpan w:val="2"/>
            <w:shd w:val="clear" w:color="auto" w:fill="FFFFFF"/>
          </w:tcPr>
          <w:p w14:paraId="720CDAAC" w14:textId="77777777" w:rsidR="00B52A7C" w:rsidRPr="007002D7" w:rsidRDefault="00B52A7C" w:rsidP="00180F9D">
            <w:pPr>
              <w:spacing w:line="240" w:lineRule="auto"/>
              <w:rPr>
                <w:rFonts w:ascii="Times New Roman" w:hAnsi="Times New Roman"/>
                <w:color w:val="000000"/>
                <w:sz w:val="16"/>
                <w:szCs w:val="16"/>
              </w:rPr>
            </w:pPr>
          </w:p>
        </w:tc>
        <w:tc>
          <w:tcPr>
            <w:tcW w:w="621" w:type="dxa"/>
            <w:gridSpan w:val="3"/>
            <w:shd w:val="clear" w:color="auto" w:fill="FFFFFF"/>
          </w:tcPr>
          <w:p w14:paraId="722DEA5F" w14:textId="77777777" w:rsidR="00B52A7C" w:rsidRPr="007002D7" w:rsidRDefault="00B52A7C" w:rsidP="00180F9D">
            <w:pPr>
              <w:spacing w:line="240" w:lineRule="auto"/>
              <w:rPr>
                <w:rFonts w:ascii="Times New Roman" w:hAnsi="Times New Roman"/>
                <w:color w:val="000000"/>
                <w:sz w:val="16"/>
                <w:szCs w:val="16"/>
              </w:rPr>
            </w:pPr>
          </w:p>
        </w:tc>
        <w:tc>
          <w:tcPr>
            <w:tcW w:w="620" w:type="dxa"/>
            <w:gridSpan w:val="2"/>
            <w:shd w:val="clear" w:color="auto" w:fill="FFFFFF"/>
          </w:tcPr>
          <w:p w14:paraId="6685424F" w14:textId="77777777" w:rsidR="00B52A7C" w:rsidRPr="007002D7" w:rsidRDefault="00B52A7C" w:rsidP="00180F9D">
            <w:pPr>
              <w:spacing w:line="240" w:lineRule="auto"/>
              <w:rPr>
                <w:rFonts w:ascii="Times New Roman" w:hAnsi="Times New Roman"/>
                <w:color w:val="000000"/>
                <w:sz w:val="16"/>
                <w:szCs w:val="16"/>
              </w:rPr>
            </w:pPr>
          </w:p>
        </w:tc>
        <w:tc>
          <w:tcPr>
            <w:tcW w:w="621" w:type="dxa"/>
            <w:shd w:val="clear" w:color="auto" w:fill="FFFFFF"/>
          </w:tcPr>
          <w:p w14:paraId="214DBE06" w14:textId="77777777" w:rsidR="00B52A7C" w:rsidRPr="007002D7" w:rsidRDefault="00B52A7C" w:rsidP="00180F9D">
            <w:pPr>
              <w:spacing w:line="240" w:lineRule="auto"/>
              <w:rPr>
                <w:rFonts w:ascii="Times New Roman" w:hAnsi="Times New Roman"/>
                <w:color w:val="000000"/>
                <w:sz w:val="16"/>
                <w:szCs w:val="16"/>
              </w:rPr>
            </w:pPr>
          </w:p>
        </w:tc>
        <w:tc>
          <w:tcPr>
            <w:tcW w:w="621" w:type="dxa"/>
            <w:gridSpan w:val="2"/>
            <w:shd w:val="clear" w:color="auto" w:fill="FFFFFF"/>
          </w:tcPr>
          <w:p w14:paraId="3E7FA02E" w14:textId="77777777" w:rsidR="00B52A7C" w:rsidRPr="007002D7" w:rsidRDefault="00B52A7C" w:rsidP="00180F9D">
            <w:pPr>
              <w:spacing w:line="240" w:lineRule="auto"/>
              <w:rPr>
                <w:rFonts w:ascii="Times New Roman" w:hAnsi="Times New Roman"/>
                <w:color w:val="000000"/>
                <w:sz w:val="16"/>
                <w:szCs w:val="16"/>
              </w:rPr>
            </w:pPr>
          </w:p>
        </w:tc>
        <w:tc>
          <w:tcPr>
            <w:tcW w:w="998" w:type="dxa"/>
            <w:gridSpan w:val="2"/>
            <w:shd w:val="clear" w:color="auto" w:fill="FFFFFF"/>
          </w:tcPr>
          <w:p w14:paraId="4130E0CC" w14:textId="51129F58" w:rsidR="00B52A7C" w:rsidRPr="007002D7" w:rsidRDefault="00B52A7C" w:rsidP="00180F9D">
            <w:pPr>
              <w:spacing w:line="240" w:lineRule="auto"/>
              <w:rPr>
                <w:rFonts w:ascii="Times New Roman" w:hAnsi="Times New Roman"/>
                <w:color w:val="000000"/>
                <w:sz w:val="16"/>
                <w:szCs w:val="16"/>
              </w:rPr>
            </w:pPr>
          </w:p>
        </w:tc>
      </w:tr>
      <w:tr w:rsidR="002B2290" w:rsidRPr="0066079A" w14:paraId="1795B941" w14:textId="77777777" w:rsidTr="00C0085E">
        <w:trPr>
          <w:trHeight w:val="357"/>
        </w:trPr>
        <w:tc>
          <w:tcPr>
            <w:tcW w:w="3126" w:type="dxa"/>
            <w:gridSpan w:val="4"/>
            <w:shd w:val="clear" w:color="auto" w:fill="FFFFFF"/>
            <w:vAlign w:val="center"/>
          </w:tcPr>
          <w:p w14:paraId="51F4CB4D" w14:textId="77777777"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t>pozostałe jednostki (oddzielnie)</w:t>
            </w:r>
          </w:p>
        </w:tc>
        <w:tc>
          <w:tcPr>
            <w:tcW w:w="620" w:type="dxa"/>
            <w:gridSpan w:val="2"/>
            <w:shd w:val="clear" w:color="auto" w:fill="FFFFFF"/>
          </w:tcPr>
          <w:p w14:paraId="37282270" w14:textId="3DEBDAE5" w:rsidR="00137409" w:rsidRPr="007002D7" w:rsidRDefault="003D3AC8" w:rsidP="00180F9D">
            <w:pPr>
              <w:spacing w:line="240" w:lineRule="auto"/>
              <w:rPr>
                <w:rFonts w:ascii="Times New Roman" w:hAnsi="Times New Roman"/>
                <w:color w:val="000000"/>
                <w:sz w:val="16"/>
                <w:szCs w:val="16"/>
              </w:rPr>
            </w:pPr>
            <w:r>
              <w:rPr>
                <w:rFonts w:ascii="Times New Roman" w:hAnsi="Times New Roman"/>
                <w:color w:val="000000"/>
                <w:sz w:val="16"/>
                <w:szCs w:val="16"/>
              </w:rPr>
              <w:t>-</w:t>
            </w:r>
            <w:r w:rsidR="00913057">
              <w:rPr>
                <w:rFonts w:ascii="Times New Roman" w:hAnsi="Times New Roman"/>
                <w:color w:val="000000"/>
                <w:sz w:val="16"/>
                <w:szCs w:val="16"/>
              </w:rPr>
              <w:t>3,3</w:t>
            </w:r>
          </w:p>
        </w:tc>
        <w:tc>
          <w:tcPr>
            <w:tcW w:w="621" w:type="dxa"/>
            <w:gridSpan w:val="2"/>
            <w:shd w:val="clear" w:color="auto" w:fill="FFFFFF"/>
          </w:tcPr>
          <w:p w14:paraId="19BDF7E2" w14:textId="78DA1045" w:rsidR="00137409" w:rsidRPr="007002D7" w:rsidRDefault="003D3AC8" w:rsidP="00180F9D">
            <w:pPr>
              <w:spacing w:line="240" w:lineRule="auto"/>
              <w:rPr>
                <w:rFonts w:ascii="Times New Roman" w:hAnsi="Times New Roman"/>
                <w:color w:val="000000"/>
                <w:sz w:val="16"/>
                <w:szCs w:val="16"/>
              </w:rPr>
            </w:pPr>
            <w:r>
              <w:rPr>
                <w:rFonts w:ascii="Times New Roman" w:hAnsi="Times New Roman"/>
                <w:color w:val="000000"/>
                <w:sz w:val="16"/>
                <w:szCs w:val="16"/>
              </w:rPr>
              <w:t>-</w:t>
            </w:r>
            <w:r w:rsidR="00137409">
              <w:rPr>
                <w:rFonts w:ascii="Times New Roman" w:hAnsi="Times New Roman"/>
                <w:color w:val="000000"/>
                <w:sz w:val="16"/>
                <w:szCs w:val="16"/>
              </w:rPr>
              <w:t>1,</w:t>
            </w:r>
            <w:r w:rsidR="00AC6960">
              <w:rPr>
                <w:rFonts w:ascii="Times New Roman" w:hAnsi="Times New Roman"/>
                <w:color w:val="000000"/>
                <w:sz w:val="16"/>
                <w:szCs w:val="16"/>
              </w:rPr>
              <w:t>4</w:t>
            </w:r>
            <w:r w:rsidR="00137409">
              <w:rPr>
                <w:rFonts w:ascii="Times New Roman" w:hAnsi="Times New Roman"/>
                <w:color w:val="000000"/>
                <w:sz w:val="16"/>
                <w:szCs w:val="16"/>
              </w:rPr>
              <w:t>33</w:t>
            </w:r>
          </w:p>
        </w:tc>
        <w:tc>
          <w:tcPr>
            <w:tcW w:w="620" w:type="dxa"/>
            <w:gridSpan w:val="3"/>
            <w:shd w:val="clear" w:color="auto" w:fill="FFFFFF"/>
          </w:tcPr>
          <w:p w14:paraId="27DB60BC" w14:textId="77777777" w:rsidR="00137409" w:rsidRPr="007002D7" w:rsidRDefault="00137409" w:rsidP="00180F9D">
            <w:pPr>
              <w:spacing w:line="240" w:lineRule="auto"/>
              <w:rPr>
                <w:rFonts w:ascii="Times New Roman" w:hAnsi="Times New Roman"/>
                <w:color w:val="000000"/>
                <w:sz w:val="16"/>
                <w:szCs w:val="16"/>
              </w:rPr>
            </w:pPr>
          </w:p>
        </w:tc>
        <w:tc>
          <w:tcPr>
            <w:tcW w:w="621" w:type="dxa"/>
            <w:gridSpan w:val="2"/>
            <w:shd w:val="clear" w:color="auto" w:fill="FFFFFF"/>
          </w:tcPr>
          <w:p w14:paraId="261AD8A7" w14:textId="77777777" w:rsidR="00137409" w:rsidRPr="007002D7" w:rsidRDefault="00137409" w:rsidP="00180F9D">
            <w:pPr>
              <w:spacing w:line="240" w:lineRule="auto"/>
              <w:rPr>
                <w:rFonts w:ascii="Times New Roman" w:hAnsi="Times New Roman"/>
                <w:color w:val="000000"/>
                <w:sz w:val="16"/>
                <w:szCs w:val="16"/>
              </w:rPr>
            </w:pPr>
          </w:p>
        </w:tc>
        <w:tc>
          <w:tcPr>
            <w:tcW w:w="620" w:type="dxa"/>
            <w:gridSpan w:val="2"/>
            <w:shd w:val="clear" w:color="auto" w:fill="FFFFFF"/>
          </w:tcPr>
          <w:p w14:paraId="6EF635AA" w14:textId="77777777" w:rsidR="00137409" w:rsidRPr="007002D7" w:rsidRDefault="00137409" w:rsidP="00180F9D">
            <w:pPr>
              <w:spacing w:line="240" w:lineRule="auto"/>
              <w:rPr>
                <w:rFonts w:ascii="Times New Roman" w:hAnsi="Times New Roman"/>
                <w:color w:val="000000"/>
                <w:sz w:val="16"/>
                <w:szCs w:val="16"/>
              </w:rPr>
            </w:pPr>
          </w:p>
        </w:tc>
        <w:tc>
          <w:tcPr>
            <w:tcW w:w="621" w:type="dxa"/>
            <w:gridSpan w:val="3"/>
            <w:shd w:val="clear" w:color="auto" w:fill="FFFFFF"/>
          </w:tcPr>
          <w:p w14:paraId="7675A108" w14:textId="77777777" w:rsidR="00137409" w:rsidRPr="007002D7" w:rsidRDefault="00137409" w:rsidP="00180F9D">
            <w:pPr>
              <w:spacing w:line="240" w:lineRule="auto"/>
              <w:rPr>
                <w:rFonts w:ascii="Times New Roman" w:hAnsi="Times New Roman"/>
                <w:color w:val="000000"/>
                <w:sz w:val="16"/>
                <w:szCs w:val="16"/>
              </w:rPr>
            </w:pPr>
          </w:p>
        </w:tc>
        <w:tc>
          <w:tcPr>
            <w:tcW w:w="620" w:type="dxa"/>
            <w:gridSpan w:val="2"/>
            <w:shd w:val="clear" w:color="auto" w:fill="FFFFFF"/>
          </w:tcPr>
          <w:p w14:paraId="19AFADDD" w14:textId="77777777" w:rsidR="00137409" w:rsidRPr="007002D7" w:rsidRDefault="00137409" w:rsidP="00180F9D">
            <w:pPr>
              <w:spacing w:line="240" w:lineRule="auto"/>
              <w:rPr>
                <w:rFonts w:ascii="Times New Roman" w:hAnsi="Times New Roman"/>
                <w:color w:val="000000"/>
                <w:sz w:val="16"/>
                <w:szCs w:val="16"/>
              </w:rPr>
            </w:pPr>
          </w:p>
        </w:tc>
        <w:tc>
          <w:tcPr>
            <w:tcW w:w="621" w:type="dxa"/>
            <w:gridSpan w:val="3"/>
            <w:shd w:val="clear" w:color="auto" w:fill="FFFFFF"/>
          </w:tcPr>
          <w:p w14:paraId="03ADB7CD" w14:textId="77777777" w:rsidR="00137409" w:rsidRPr="007002D7" w:rsidRDefault="00137409" w:rsidP="00180F9D">
            <w:pPr>
              <w:spacing w:line="240" w:lineRule="auto"/>
              <w:rPr>
                <w:rFonts w:ascii="Times New Roman" w:hAnsi="Times New Roman"/>
                <w:color w:val="000000"/>
                <w:sz w:val="16"/>
                <w:szCs w:val="16"/>
              </w:rPr>
            </w:pPr>
          </w:p>
        </w:tc>
        <w:tc>
          <w:tcPr>
            <w:tcW w:w="620" w:type="dxa"/>
            <w:gridSpan w:val="2"/>
            <w:shd w:val="clear" w:color="auto" w:fill="FFFFFF"/>
          </w:tcPr>
          <w:p w14:paraId="3A70F602" w14:textId="77777777" w:rsidR="00137409" w:rsidRPr="007002D7" w:rsidRDefault="00137409" w:rsidP="00180F9D">
            <w:pPr>
              <w:spacing w:line="240" w:lineRule="auto"/>
              <w:rPr>
                <w:rFonts w:ascii="Times New Roman" w:hAnsi="Times New Roman"/>
                <w:color w:val="000000"/>
                <w:sz w:val="16"/>
                <w:szCs w:val="16"/>
              </w:rPr>
            </w:pPr>
          </w:p>
        </w:tc>
        <w:tc>
          <w:tcPr>
            <w:tcW w:w="621" w:type="dxa"/>
            <w:shd w:val="clear" w:color="auto" w:fill="FFFFFF"/>
          </w:tcPr>
          <w:p w14:paraId="1A9A8FF5" w14:textId="77777777" w:rsidR="00137409" w:rsidRPr="007002D7" w:rsidRDefault="00137409" w:rsidP="00180F9D">
            <w:pPr>
              <w:spacing w:line="240" w:lineRule="auto"/>
              <w:rPr>
                <w:rFonts w:ascii="Times New Roman" w:hAnsi="Times New Roman"/>
                <w:color w:val="000000"/>
                <w:sz w:val="16"/>
                <w:szCs w:val="16"/>
              </w:rPr>
            </w:pPr>
          </w:p>
        </w:tc>
        <w:tc>
          <w:tcPr>
            <w:tcW w:w="621" w:type="dxa"/>
            <w:gridSpan w:val="2"/>
            <w:shd w:val="clear" w:color="auto" w:fill="FFFFFF"/>
          </w:tcPr>
          <w:p w14:paraId="36916CB1" w14:textId="77777777" w:rsidR="00137409" w:rsidRPr="007002D7" w:rsidRDefault="00137409" w:rsidP="00180F9D">
            <w:pPr>
              <w:spacing w:line="240" w:lineRule="auto"/>
              <w:rPr>
                <w:rFonts w:ascii="Times New Roman" w:hAnsi="Times New Roman"/>
                <w:color w:val="000000"/>
                <w:sz w:val="16"/>
                <w:szCs w:val="16"/>
              </w:rPr>
            </w:pPr>
          </w:p>
        </w:tc>
        <w:tc>
          <w:tcPr>
            <w:tcW w:w="998" w:type="dxa"/>
            <w:gridSpan w:val="2"/>
            <w:shd w:val="clear" w:color="auto" w:fill="FFFFFF"/>
          </w:tcPr>
          <w:p w14:paraId="04038F1B" w14:textId="62F4AC97" w:rsidR="00137409" w:rsidRPr="007002D7" w:rsidRDefault="003D3AC8" w:rsidP="00180F9D">
            <w:pPr>
              <w:spacing w:line="240" w:lineRule="auto"/>
              <w:rPr>
                <w:rFonts w:ascii="Times New Roman" w:hAnsi="Times New Roman"/>
                <w:color w:val="000000"/>
                <w:sz w:val="16"/>
                <w:szCs w:val="16"/>
              </w:rPr>
            </w:pPr>
            <w:r>
              <w:rPr>
                <w:rFonts w:ascii="Times New Roman" w:hAnsi="Times New Roman"/>
                <w:color w:val="000000"/>
                <w:sz w:val="16"/>
                <w:szCs w:val="16"/>
              </w:rPr>
              <w:t>-</w:t>
            </w:r>
            <w:r w:rsidR="00913057">
              <w:rPr>
                <w:rFonts w:ascii="Times New Roman" w:hAnsi="Times New Roman"/>
                <w:color w:val="000000"/>
                <w:sz w:val="16"/>
                <w:szCs w:val="16"/>
              </w:rPr>
              <w:t>4,733</w:t>
            </w:r>
          </w:p>
        </w:tc>
      </w:tr>
      <w:tr w:rsidR="00137409" w:rsidRPr="0066079A" w14:paraId="5046E1E2" w14:textId="77777777" w:rsidTr="00A87747">
        <w:trPr>
          <w:gridAfter w:val="1"/>
          <w:wAfter w:w="13" w:type="dxa"/>
          <w:trHeight w:val="348"/>
        </w:trPr>
        <w:tc>
          <w:tcPr>
            <w:tcW w:w="2238" w:type="dxa"/>
            <w:gridSpan w:val="2"/>
            <w:shd w:val="clear" w:color="auto" w:fill="FFFFFF"/>
            <w:vAlign w:val="center"/>
          </w:tcPr>
          <w:p w14:paraId="65F0C029" w14:textId="77777777"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t xml:space="preserve">Źródła finansowania </w:t>
            </w:r>
          </w:p>
        </w:tc>
        <w:tc>
          <w:tcPr>
            <w:tcW w:w="8699" w:type="dxa"/>
            <w:gridSpan w:val="27"/>
            <w:shd w:val="clear" w:color="auto" w:fill="FFFFFF"/>
            <w:vAlign w:val="center"/>
          </w:tcPr>
          <w:p w14:paraId="6008E505" w14:textId="1821955B" w:rsidR="00137409" w:rsidRPr="0066079A" w:rsidRDefault="00137409" w:rsidP="00180F9D">
            <w:pPr>
              <w:spacing w:line="240" w:lineRule="auto"/>
              <w:jc w:val="both"/>
              <w:rPr>
                <w:rFonts w:ascii="Times New Roman" w:hAnsi="Times New Roman"/>
                <w:color w:val="000000"/>
                <w:sz w:val="21"/>
                <w:szCs w:val="21"/>
              </w:rPr>
            </w:pPr>
            <w:r w:rsidRPr="0066079A">
              <w:rPr>
                <w:rFonts w:ascii="Times New Roman" w:hAnsi="Times New Roman"/>
                <w:color w:val="000000"/>
                <w:sz w:val="21"/>
                <w:szCs w:val="21"/>
              </w:rPr>
              <w:t xml:space="preserve">Środki na wypłatę bonów energetycznych pochodzić będą </w:t>
            </w:r>
            <w:r>
              <w:rPr>
                <w:rFonts w:ascii="Times New Roman" w:hAnsi="Times New Roman"/>
                <w:color w:val="000000"/>
                <w:sz w:val="21"/>
                <w:szCs w:val="21"/>
              </w:rPr>
              <w:t>z</w:t>
            </w:r>
            <w:r w:rsidRPr="0066079A">
              <w:rPr>
                <w:rFonts w:ascii="Times New Roman" w:hAnsi="Times New Roman"/>
                <w:color w:val="000000"/>
                <w:sz w:val="21"/>
                <w:szCs w:val="21"/>
              </w:rPr>
              <w:t xml:space="preserve"> budżetu państwa.</w:t>
            </w:r>
            <w:r>
              <w:rPr>
                <w:rFonts w:ascii="Times New Roman" w:hAnsi="Times New Roman"/>
                <w:color w:val="000000"/>
                <w:sz w:val="21"/>
                <w:szCs w:val="21"/>
              </w:rPr>
              <w:t xml:space="preserve"> Środki na rekompensaty i wyrównania dla przedsiębiorstw energetycznych pochodzić będą z Funduszu Przeciwdziałania COVID-19.</w:t>
            </w:r>
          </w:p>
        </w:tc>
      </w:tr>
      <w:tr w:rsidR="00137409" w:rsidRPr="0066079A" w14:paraId="1CC6BC93" w14:textId="77777777" w:rsidTr="00A87747">
        <w:trPr>
          <w:gridAfter w:val="1"/>
          <w:wAfter w:w="13" w:type="dxa"/>
          <w:trHeight w:val="1926"/>
        </w:trPr>
        <w:tc>
          <w:tcPr>
            <w:tcW w:w="2238" w:type="dxa"/>
            <w:gridSpan w:val="2"/>
            <w:shd w:val="clear" w:color="auto" w:fill="FFFFFF"/>
          </w:tcPr>
          <w:p w14:paraId="4A54789D" w14:textId="77777777"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t>Dodatkowe informacje, w tym wskazanie źródeł danych i przyjętych do obliczeń założeń</w:t>
            </w:r>
          </w:p>
        </w:tc>
        <w:tc>
          <w:tcPr>
            <w:tcW w:w="8699" w:type="dxa"/>
            <w:gridSpan w:val="27"/>
            <w:shd w:val="clear" w:color="auto" w:fill="FFFFFF"/>
          </w:tcPr>
          <w:p w14:paraId="03B64611" w14:textId="6E329C44" w:rsidR="00137409" w:rsidRDefault="00137409" w:rsidP="00180F9D">
            <w:pPr>
              <w:spacing w:after="120" w:line="240" w:lineRule="auto"/>
              <w:jc w:val="both"/>
              <w:rPr>
                <w:rFonts w:ascii="Times New Roman" w:hAnsi="Times New Roman"/>
                <w:color w:val="000000"/>
                <w:sz w:val="21"/>
                <w:szCs w:val="21"/>
              </w:rPr>
            </w:pPr>
            <w:r w:rsidRPr="0066079A">
              <w:rPr>
                <w:rFonts w:ascii="Times New Roman" w:hAnsi="Times New Roman"/>
                <w:color w:val="000000"/>
                <w:sz w:val="21"/>
                <w:szCs w:val="21"/>
              </w:rPr>
              <w:t xml:space="preserve">Proponowany maksymalny limit wydatków na rozwiązania zawarte w projekcie to </w:t>
            </w:r>
            <w:r w:rsidR="00913057">
              <w:rPr>
                <w:rFonts w:ascii="Times New Roman" w:hAnsi="Times New Roman"/>
                <w:b/>
                <w:bCs/>
                <w:color w:val="000000"/>
                <w:sz w:val="21"/>
                <w:szCs w:val="21"/>
              </w:rPr>
              <w:t>6,333</w:t>
            </w:r>
            <w:r w:rsidRPr="00136925">
              <w:rPr>
                <w:rFonts w:ascii="Times New Roman" w:hAnsi="Times New Roman"/>
                <w:b/>
                <w:bCs/>
                <w:color w:val="000000"/>
                <w:sz w:val="21"/>
                <w:szCs w:val="21"/>
              </w:rPr>
              <w:t xml:space="preserve"> mld zł,</w:t>
            </w:r>
            <w:r>
              <w:rPr>
                <w:rFonts w:ascii="Times New Roman" w:hAnsi="Times New Roman"/>
                <w:color w:val="000000"/>
                <w:sz w:val="21"/>
                <w:szCs w:val="21"/>
              </w:rPr>
              <w:t xml:space="preserve"> z tego:</w:t>
            </w:r>
          </w:p>
          <w:p w14:paraId="3A2CA306" w14:textId="74774FF4" w:rsidR="00137409" w:rsidRPr="0066079A" w:rsidRDefault="00137409" w:rsidP="00180F9D">
            <w:pPr>
              <w:spacing w:after="120" w:line="240" w:lineRule="auto"/>
              <w:jc w:val="both"/>
              <w:rPr>
                <w:rFonts w:ascii="Times New Roman" w:hAnsi="Times New Roman"/>
                <w:color w:val="000000"/>
                <w:sz w:val="21"/>
                <w:szCs w:val="21"/>
              </w:rPr>
            </w:pPr>
            <w:r w:rsidRPr="0066079A">
              <w:rPr>
                <w:rFonts w:ascii="Times New Roman" w:hAnsi="Times New Roman"/>
                <w:color w:val="000000"/>
                <w:sz w:val="21"/>
                <w:szCs w:val="21"/>
              </w:rPr>
              <w:t xml:space="preserve">- </w:t>
            </w:r>
            <w:r>
              <w:rPr>
                <w:rFonts w:ascii="Times New Roman" w:hAnsi="Times New Roman"/>
                <w:color w:val="000000"/>
                <w:sz w:val="21"/>
                <w:szCs w:val="21"/>
              </w:rPr>
              <w:t xml:space="preserve">dotacja celowa na </w:t>
            </w:r>
            <w:r w:rsidRPr="0066079A">
              <w:rPr>
                <w:rFonts w:ascii="Times New Roman" w:hAnsi="Times New Roman"/>
                <w:color w:val="000000"/>
                <w:sz w:val="21"/>
                <w:szCs w:val="21"/>
              </w:rPr>
              <w:t xml:space="preserve">bony energetyczne: </w:t>
            </w:r>
            <w:r w:rsidRPr="00136925">
              <w:rPr>
                <w:rFonts w:ascii="Times New Roman" w:hAnsi="Times New Roman"/>
                <w:b/>
                <w:bCs/>
                <w:color w:val="000000"/>
                <w:sz w:val="21"/>
                <w:szCs w:val="21"/>
              </w:rPr>
              <w:t>1,6 mld zł</w:t>
            </w:r>
            <w:r w:rsidRPr="0066079A">
              <w:rPr>
                <w:rFonts w:ascii="Times New Roman" w:hAnsi="Times New Roman"/>
                <w:color w:val="000000"/>
                <w:sz w:val="21"/>
                <w:szCs w:val="21"/>
              </w:rPr>
              <w:t xml:space="preserve">; </w:t>
            </w:r>
            <w:r>
              <w:rPr>
                <w:rFonts w:ascii="Times New Roman" w:hAnsi="Times New Roman"/>
                <w:color w:val="000000"/>
                <w:sz w:val="21"/>
                <w:szCs w:val="21"/>
              </w:rPr>
              <w:t xml:space="preserve">w tym </w:t>
            </w:r>
            <w:r w:rsidRPr="00342951">
              <w:rPr>
                <w:rFonts w:ascii="Times New Roman" w:hAnsi="Times New Roman"/>
                <w:color w:val="000000"/>
                <w:sz w:val="21"/>
                <w:szCs w:val="21"/>
              </w:rPr>
              <w:t xml:space="preserve">w 2024 r. </w:t>
            </w:r>
            <w:r>
              <w:rPr>
                <w:rFonts w:ascii="Times New Roman" w:hAnsi="Times New Roman"/>
                <w:color w:val="000000"/>
                <w:sz w:val="21"/>
                <w:szCs w:val="21"/>
              </w:rPr>
              <w:t>–</w:t>
            </w:r>
            <w:r w:rsidRPr="00342951">
              <w:rPr>
                <w:rFonts w:ascii="Times New Roman" w:hAnsi="Times New Roman"/>
                <w:color w:val="000000"/>
                <w:sz w:val="21"/>
                <w:szCs w:val="21"/>
              </w:rPr>
              <w:t xml:space="preserve"> 1</w:t>
            </w:r>
            <w:r>
              <w:rPr>
                <w:rFonts w:ascii="Times New Roman" w:hAnsi="Times New Roman"/>
                <w:color w:val="000000"/>
                <w:sz w:val="21"/>
                <w:szCs w:val="21"/>
              </w:rPr>
              <w:t>,2</w:t>
            </w:r>
            <w:r w:rsidR="00F7605A">
              <w:rPr>
                <w:rFonts w:ascii="Times New Roman" w:hAnsi="Times New Roman"/>
                <w:color w:val="000000"/>
                <w:sz w:val="21"/>
                <w:szCs w:val="21"/>
              </w:rPr>
              <w:t>7</w:t>
            </w:r>
            <w:r>
              <w:rPr>
                <w:rFonts w:ascii="Times New Roman" w:hAnsi="Times New Roman"/>
                <w:color w:val="000000"/>
                <w:sz w:val="21"/>
                <w:szCs w:val="21"/>
              </w:rPr>
              <w:t xml:space="preserve"> mld zł</w:t>
            </w:r>
            <w:r w:rsidR="00A06B95">
              <w:rPr>
                <w:rFonts w:ascii="Times New Roman" w:hAnsi="Times New Roman"/>
                <w:color w:val="000000"/>
                <w:sz w:val="21"/>
                <w:szCs w:val="21"/>
              </w:rPr>
              <w:t>, w</w:t>
            </w:r>
            <w:r w:rsidRPr="00342951">
              <w:rPr>
                <w:rFonts w:ascii="Times New Roman" w:hAnsi="Times New Roman"/>
                <w:color w:val="000000"/>
                <w:sz w:val="21"/>
                <w:szCs w:val="21"/>
              </w:rPr>
              <w:t xml:space="preserve"> 2025 r. – </w:t>
            </w:r>
            <w:r>
              <w:rPr>
                <w:rFonts w:ascii="Times New Roman" w:hAnsi="Times New Roman"/>
                <w:color w:val="000000"/>
                <w:sz w:val="21"/>
                <w:szCs w:val="21"/>
              </w:rPr>
              <w:t>0,</w:t>
            </w:r>
            <w:r w:rsidRPr="00342951">
              <w:rPr>
                <w:rFonts w:ascii="Times New Roman" w:hAnsi="Times New Roman"/>
                <w:color w:val="000000"/>
                <w:sz w:val="21"/>
                <w:szCs w:val="21"/>
              </w:rPr>
              <w:t>320 </w:t>
            </w:r>
            <w:r>
              <w:rPr>
                <w:rFonts w:ascii="Times New Roman" w:hAnsi="Times New Roman"/>
                <w:color w:val="000000"/>
                <w:sz w:val="21"/>
                <w:szCs w:val="21"/>
              </w:rPr>
              <w:t xml:space="preserve">mld </w:t>
            </w:r>
            <w:r w:rsidRPr="00342951">
              <w:rPr>
                <w:rFonts w:ascii="Times New Roman" w:hAnsi="Times New Roman"/>
                <w:color w:val="000000"/>
                <w:sz w:val="21"/>
                <w:szCs w:val="21"/>
              </w:rPr>
              <w:t>zł</w:t>
            </w:r>
            <w:r w:rsidR="00A06B95">
              <w:rPr>
                <w:rFonts w:ascii="Times New Roman" w:hAnsi="Times New Roman"/>
                <w:color w:val="000000"/>
                <w:sz w:val="21"/>
                <w:szCs w:val="21"/>
              </w:rPr>
              <w:t>, w 2026 r. – 2 mln zł, w latach 2027-</w:t>
            </w:r>
            <w:r w:rsidR="009F6D63">
              <w:rPr>
                <w:rFonts w:ascii="Times New Roman" w:hAnsi="Times New Roman"/>
                <w:color w:val="000000"/>
                <w:sz w:val="21"/>
                <w:szCs w:val="21"/>
              </w:rPr>
              <w:t>2034 – 1 mln zł rocznie</w:t>
            </w:r>
            <w:r w:rsidR="00A65A2A">
              <w:rPr>
                <w:rFonts w:ascii="Times New Roman" w:hAnsi="Times New Roman"/>
                <w:color w:val="000000"/>
                <w:sz w:val="21"/>
                <w:szCs w:val="21"/>
              </w:rPr>
              <w:t>.</w:t>
            </w:r>
          </w:p>
          <w:p w14:paraId="7069383E" w14:textId="7AED677F" w:rsidR="00137409" w:rsidRDefault="00137409" w:rsidP="00180F9D">
            <w:pPr>
              <w:spacing w:after="120" w:line="240" w:lineRule="auto"/>
              <w:jc w:val="both"/>
              <w:rPr>
                <w:rFonts w:ascii="Times New Roman" w:hAnsi="Times New Roman"/>
                <w:color w:val="000000"/>
                <w:sz w:val="21"/>
                <w:szCs w:val="21"/>
              </w:rPr>
            </w:pPr>
            <w:r w:rsidRPr="0066079A">
              <w:rPr>
                <w:rFonts w:ascii="Times New Roman" w:hAnsi="Times New Roman"/>
                <w:color w:val="000000"/>
                <w:sz w:val="21"/>
                <w:szCs w:val="21"/>
              </w:rPr>
              <w:t xml:space="preserve">- zmiana taryf obrotu energią elektryczną: </w:t>
            </w:r>
            <w:r w:rsidRPr="00136925">
              <w:rPr>
                <w:rFonts w:ascii="Times New Roman" w:hAnsi="Times New Roman"/>
                <w:b/>
                <w:bCs/>
                <w:color w:val="000000"/>
                <w:sz w:val="21"/>
                <w:szCs w:val="21"/>
              </w:rPr>
              <w:t>0</w:t>
            </w:r>
            <w:r w:rsidRPr="0066079A">
              <w:rPr>
                <w:rFonts w:ascii="Times New Roman" w:hAnsi="Times New Roman"/>
                <w:color w:val="000000"/>
                <w:sz w:val="21"/>
                <w:szCs w:val="21"/>
              </w:rPr>
              <w:t xml:space="preserve"> </w:t>
            </w:r>
            <w:r w:rsidRPr="00136925">
              <w:rPr>
                <w:rFonts w:ascii="Times New Roman" w:hAnsi="Times New Roman"/>
                <w:b/>
                <w:bCs/>
                <w:color w:val="000000"/>
                <w:sz w:val="21"/>
                <w:szCs w:val="21"/>
              </w:rPr>
              <w:t>zł</w:t>
            </w:r>
            <w:r w:rsidR="00A65A2A">
              <w:rPr>
                <w:rFonts w:ascii="Times New Roman" w:hAnsi="Times New Roman"/>
                <w:b/>
                <w:bCs/>
                <w:color w:val="000000"/>
                <w:sz w:val="21"/>
                <w:szCs w:val="21"/>
              </w:rPr>
              <w:t>.</w:t>
            </w:r>
          </w:p>
          <w:p w14:paraId="3C1E8453" w14:textId="4E5E2231" w:rsidR="00137409" w:rsidRDefault="00137409" w:rsidP="00180F9D">
            <w:pPr>
              <w:spacing w:after="120" w:line="240" w:lineRule="auto"/>
              <w:jc w:val="both"/>
              <w:rPr>
                <w:rFonts w:ascii="Times New Roman" w:hAnsi="Times New Roman"/>
                <w:color w:val="000000"/>
                <w:sz w:val="21"/>
                <w:szCs w:val="21"/>
              </w:rPr>
            </w:pPr>
            <w:r w:rsidRPr="0066079A">
              <w:rPr>
                <w:rFonts w:ascii="Times New Roman" w:hAnsi="Times New Roman"/>
                <w:color w:val="000000"/>
                <w:sz w:val="21"/>
                <w:szCs w:val="21"/>
              </w:rPr>
              <w:t>- cena maksymalna za energię elektryczną (rekompensaty dla przedsiębiorstw energetycznych)</w:t>
            </w:r>
            <w:r w:rsidR="00BC5DFD">
              <w:rPr>
                <w:rFonts w:ascii="Times New Roman" w:hAnsi="Times New Roman"/>
                <w:color w:val="000000"/>
                <w:sz w:val="21"/>
                <w:szCs w:val="21"/>
              </w:rPr>
              <w:t xml:space="preserve"> z tytułu stosowania</w:t>
            </w:r>
            <w:r w:rsidR="0087378A">
              <w:rPr>
                <w:rFonts w:ascii="Times New Roman" w:hAnsi="Times New Roman"/>
                <w:color w:val="000000"/>
                <w:sz w:val="21"/>
                <w:szCs w:val="21"/>
              </w:rPr>
              <w:t xml:space="preserve"> </w:t>
            </w:r>
            <w:r w:rsidR="00BC5DFD">
              <w:rPr>
                <w:rFonts w:ascii="Times New Roman" w:hAnsi="Times New Roman"/>
                <w:color w:val="000000"/>
                <w:sz w:val="21"/>
                <w:szCs w:val="21"/>
              </w:rPr>
              <w:t xml:space="preserve">ceny maksymalnej 500 zł/MWh </w:t>
            </w:r>
            <w:r w:rsidR="0087378A">
              <w:rPr>
                <w:rFonts w:ascii="Times New Roman" w:hAnsi="Times New Roman"/>
                <w:color w:val="000000"/>
                <w:sz w:val="21"/>
                <w:szCs w:val="21"/>
              </w:rPr>
              <w:t>dla gospodarstw domowych oraz 693 zł/MWh wobec</w:t>
            </w:r>
            <w:r w:rsidR="002B16FF">
              <w:rPr>
                <w:rFonts w:ascii="Times New Roman" w:hAnsi="Times New Roman"/>
                <w:color w:val="000000"/>
                <w:sz w:val="21"/>
                <w:szCs w:val="21"/>
              </w:rPr>
              <w:t xml:space="preserve"> jednostek samorządu terytorialnego oraz podmiotów użyteczności publicznej</w:t>
            </w:r>
            <w:r w:rsidRPr="0066079A">
              <w:rPr>
                <w:rFonts w:ascii="Times New Roman" w:hAnsi="Times New Roman"/>
                <w:color w:val="000000"/>
                <w:sz w:val="21"/>
                <w:szCs w:val="21"/>
              </w:rPr>
              <w:t xml:space="preserve">: </w:t>
            </w:r>
            <w:r w:rsidR="00A038A2">
              <w:rPr>
                <w:rFonts w:ascii="Times New Roman" w:hAnsi="Times New Roman"/>
                <w:b/>
                <w:bCs/>
                <w:color w:val="000000"/>
                <w:sz w:val="21"/>
                <w:szCs w:val="21"/>
              </w:rPr>
              <w:t>3</w:t>
            </w:r>
            <w:r w:rsidRPr="00136925">
              <w:rPr>
                <w:rFonts w:ascii="Times New Roman" w:hAnsi="Times New Roman"/>
                <w:b/>
                <w:bCs/>
                <w:color w:val="000000"/>
                <w:sz w:val="21"/>
                <w:szCs w:val="21"/>
              </w:rPr>
              <w:t>,</w:t>
            </w:r>
            <w:r>
              <w:rPr>
                <w:rFonts w:ascii="Times New Roman" w:hAnsi="Times New Roman"/>
                <w:b/>
                <w:bCs/>
                <w:color w:val="000000"/>
                <w:sz w:val="21"/>
                <w:szCs w:val="21"/>
              </w:rPr>
              <w:t>083</w:t>
            </w:r>
            <w:r w:rsidRPr="0066079A">
              <w:rPr>
                <w:rFonts w:ascii="Times New Roman" w:hAnsi="Times New Roman"/>
                <w:color w:val="000000"/>
                <w:sz w:val="21"/>
                <w:szCs w:val="21"/>
              </w:rPr>
              <w:t xml:space="preserve"> </w:t>
            </w:r>
            <w:r w:rsidRPr="00136925">
              <w:rPr>
                <w:rFonts w:ascii="Times New Roman" w:hAnsi="Times New Roman"/>
                <w:b/>
                <w:bCs/>
                <w:color w:val="000000"/>
                <w:sz w:val="21"/>
                <w:szCs w:val="21"/>
              </w:rPr>
              <w:t>mld zł</w:t>
            </w:r>
            <w:r>
              <w:rPr>
                <w:rFonts w:ascii="Times New Roman" w:hAnsi="Times New Roman"/>
                <w:b/>
                <w:bCs/>
                <w:color w:val="000000"/>
                <w:sz w:val="21"/>
                <w:szCs w:val="21"/>
              </w:rPr>
              <w:t>,</w:t>
            </w:r>
            <w:r>
              <w:rPr>
                <w:rFonts w:ascii="Times New Roman" w:hAnsi="Times New Roman"/>
                <w:color w:val="000000"/>
                <w:sz w:val="21"/>
                <w:szCs w:val="21"/>
              </w:rPr>
              <w:t xml:space="preserve"> w tym w 2024 r. – </w:t>
            </w:r>
            <w:r w:rsidR="001D344D">
              <w:rPr>
                <w:rFonts w:ascii="Times New Roman" w:hAnsi="Times New Roman"/>
                <w:color w:val="000000"/>
                <w:sz w:val="21"/>
                <w:szCs w:val="21"/>
              </w:rPr>
              <w:t>2</w:t>
            </w:r>
            <w:r>
              <w:rPr>
                <w:rFonts w:ascii="Times New Roman" w:hAnsi="Times New Roman"/>
                <w:color w:val="000000"/>
                <w:sz w:val="21"/>
                <w:szCs w:val="21"/>
              </w:rPr>
              <w:t>,</w:t>
            </w:r>
            <w:r w:rsidR="001D344D">
              <w:rPr>
                <w:rFonts w:ascii="Times New Roman" w:hAnsi="Times New Roman"/>
                <w:color w:val="000000"/>
                <w:sz w:val="21"/>
                <w:szCs w:val="21"/>
              </w:rPr>
              <w:t>1</w:t>
            </w:r>
            <w:r>
              <w:rPr>
                <w:rFonts w:ascii="Times New Roman" w:hAnsi="Times New Roman"/>
                <w:color w:val="000000"/>
                <w:sz w:val="21"/>
                <w:szCs w:val="21"/>
              </w:rPr>
              <w:t xml:space="preserve"> mld zł, w 2025 r. – 0,</w:t>
            </w:r>
            <w:r w:rsidR="001D344D">
              <w:rPr>
                <w:rFonts w:ascii="Times New Roman" w:hAnsi="Times New Roman"/>
                <w:color w:val="000000"/>
                <w:sz w:val="21"/>
                <w:szCs w:val="21"/>
              </w:rPr>
              <w:t>9</w:t>
            </w:r>
            <w:r>
              <w:rPr>
                <w:rFonts w:ascii="Times New Roman" w:hAnsi="Times New Roman"/>
                <w:color w:val="000000"/>
                <w:sz w:val="21"/>
                <w:szCs w:val="21"/>
              </w:rPr>
              <w:t>83 mld zł</w:t>
            </w:r>
            <w:r w:rsidR="005C5463">
              <w:rPr>
                <w:rFonts w:ascii="Times New Roman" w:hAnsi="Times New Roman"/>
                <w:color w:val="000000"/>
                <w:sz w:val="21"/>
                <w:szCs w:val="21"/>
              </w:rPr>
              <w:t>.</w:t>
            </w:r>
          </w:p>
          <w:p w14:paraId="079A70A7" w14:textId="3CDB1B9F" w:rsidR="00137409" w:rsidRDefault="00137409" w:rsidP="00180F9D">
            <w:pPr>
              <w:spacing w:after="120" w:line="240" w:lineRule="auto"/>
              <w:jc w:val="both"/>
              <w:rPr>
                <w:rFonts w:ascii="Times New Roman" w:hAnsi="Times New Roman"/>
                <w:color w:val="000000"/>
                <w:sz w:val="21"/>
                <w:szCs w:val="21"/>
              </w:rPr>
            </w:pPr>
            <w:r w:rsidRPr="0066079A">
              <w:rPr>
                <w:rFonts w:ascii="Times New Roman" w:hAnsi="Times New Roman"/>
                <w:color w:val="000000"/>
                <w:sz w:val="21"/>
                <w:szCs w:val="21"/>
              </w:rPr>
              <w:t xml:space="preserve">- cena maksymalna za paliwa gazowe (rekompensaty dla przedsiębiorstw energetycznych): </w:t>
            </w:r>
            <w:r w:rsidRPr="00136925">
              <w:rPr>
                <w:rFonts w:ascii="Times New Roman" w:hAnsi="Times New Roman"/>
                <w:b/>
                <w:bCs/>
                <w:color w:val="000000"/>
                <w:sz w:val="21"/>
                <w:szCs w:val="21"/>
              </w:rPr>
              <w:t>0,2 mld</w:t>
            </w:r>
            <w:r w:rsidRPr="0066079A">
              <w:rPr>
                <w:rFonts w:ascii="Times New Roman" w:hAnsi="Times New Roman"/>
                <w:color w:val="000000"/>
                <w:sz w:val="21"/>
                <w:szCs w:val="21"/>
              </w:rPr>
              <w:t xml:space="preserve"> </w:t>
            </w:r>
            <w:r w:rsidRPr="00136925">
              <w:rPr>
                <w:rFonts w:ascii="Times New Roman" w:hAnsi="Times New Roman"/>
                <w:b/>
                <w:bCs/>
                <w:color w:val="000000"/>
                <w:sz w:val="21"/>
                <w:szCs w:val="21"/>
              </w:rPr>
              <w:t>zł</w:t>
            </w:r>
            <w:r w:rsidRPr="0066079A">
              <w:rPr>
                <w:rFonts w:ascii="Times New Roman" w:hAnsi="Times New Roman"/>
                <w:color w:val="000000"/>
                <w:sz w:val="21"/>
                <w:szCs w:val="21"/>
              </w:rPr>
              <w:t>;</w:t>
            </w:r>
            <w:r>
              <w:rPr>
                <w:rFonts w:ascii="Times New Roman" w:hAnsi="Times New Roman"/>
                <w:color w:val="000000"/>
                <w:sz w:val="21"/>
                <w:szCs w:val="21"/>
              </w:rPr>
              <w:t xml:space="preserve"> w tym w 2024 r. 0,1 mld zł i w 2025 r. 0,1 mld zł.</w:t>
            </w:r>
          </w:p>
          <w:p w14:paraId="5BDD751C" w14:textId="2018646C" w:rsidR="00137409" w:rsidRDefault="00137409" w:rsidP="00180F9D">
            <w:pPr>
              <w:spacing w:after="120" w:line="240" w:lineRule="auto"/>
              <w:jc w:val="both"/>
              <w:rPr>
                <w:rFonts w:ascii="Times New Roman" w:hAnsi="Times New Roman"/>
                <w:color w:val="000000"/>
                <w:sz w:val="21"/>
                <w:szCs w:val="21"/>
              </w:rPr>
            </w:pPr>
            <w:r>
              <w:rPr>
                <w:rFonts w:ascii="Times New Roman" w:hAnsi="Times New Roman"/>
                <w:color w:val="000000"/>
                <w:sz w:val="21"/>
                <w:szCs w:val="21"/>
              </w:rPr>
              <w:t xml:space="preserve">- wyrównania dla przedsiębiorstw energetycznych w zakresie sprzedaży ciepła: </w:t>
            </w:r>
            <w:r w:rsidRPr="00136925">
              <w:rPr>
                <w:rFonts w:ascii="Times New Roman" w:hAnsi="Times New Roman"/>
                <w:b/>
                <w:bCs/>
                <w:color w:val="000000"/>
                <w:sz w:val="21"/>
                <w:szCs w:val="21"/>
              </w:rPr>
              <w:t>1,45 mld zł</w:t>
            </w:r>
            <w:r>
              <w:rPr>
                <w:rFonts w:ascii="Times New Roman" w:hAnsi="Times New Roman"/>
                <w:color w:val="000000"/>
                <w:sz w:val="21"/>
                <w:szCs w:val="21"/>
              </w:rPr>
              <w:t>, w tym w 2024 r. - 1,1 mld zł, w 2025 r. - 0,35 mld zł.</w:t>
            </w:r>
          </w:p>
          <w:p w14:paraId="2FD54E02" w14:textId="7EC64C6E" w:rsidR="00137409" w:rsidRDefault="00137409" w:rsidP="00180F9D">
            <w:pPr>
              <w:spacing w:line="240" w:lineRule="auto"/>
              <w:jc w:val="both"/>
              <w:rPr>
                <w:rFonts w:ascii="Times New Roman" w:hAnsi="Times New Roman"/>
                <w:color w:val="000000"/>
                <w:sz w:val="21"/>
                <w:szCs w:val="21"/>
              </w:rPr>
            </w:pPr>
            <w:r w:rsidRPr="00977B94">
              <w:rPr>
                <w:rFonts w:ascii="Times New Roman" w:hAnsi="Times New Roman"/>
                <w:color w:val="000000"/>
                <w:sz w:val="21"/>
                <w:szCs w:val="21"/>
              </w:rPr>
              <w:t xml:space="preserve">Przedstawione rozwiązania, zgodnie z funkcjonującymi mechanizmami zakładają, że część z kosztów związanych z funkcjonowaniem mechanizmów w II połowie 2024 r. będzie poniesiona w 2025 r., co wynika </w:t>
            </w:r>
            <w:r>
              <w:rPr>
                <w:rFonts w:ascii="Times New Roman" w:hAnsi="Times New Roman"/>
                <w:color w:val="000000"/>
                <w:sz w:val="21"/>
                <w:szCs w:val="21"/>
              </w:rPr>
              <w:t>np.</w:t>
            </w:r>
            <w:r w:rsidRPr="00977B94">
              <w:rPr>
                <w:rFonts w:ascii="Times New Roman" w:hAnsi="Times New Roman"/>
                <w:color w:val="000000"/>
                <w:sz w:val="21"/>
                <w:szCs w:val="21"/>
              </w:rPr>
              <w:t xml:space="preserve"> z terminów rozliczenia wypłaconej rekompensaty oraz rekompensat należnych za stosowanie cen i stawek określonych w ustawach w miesiącach listopad i grudzień 2024</w:t>
            </w:r>
            <w:r>
              <w:rPr>
                <w:rFonts w:ascii="Times New Roman" w:hAnsi="Times New Roman"/>
                <w:color w:val="000000"/>
                <w:sz w:val="21"/>
                <w:szCs w:val="21"/>
              </w:rPr>
              <w:t> </w:t>
            </w:r>
            <w:r w:rsidRPr="00977B94">
              <w:rPr>
                <w:rFonts w:ascii="Times New Roman" w:hAnsi="Times New Roman"/>
                <w:color w:val="000000"/>
                <w:sz w:val="21"/>
                <w:szCs w:val="21"/>
              </w:rPr>
              <w:t>r.</w:t>
            </w:r>
          </w:p>
          <w:p w14:paraId="7062E3B6" w14:textId="386D4576" w:rsidR="00137409" w:rsidRPr="00425769" w:rsidRDefault="00137409" w:rsidP="00180F9D">
            <w:pPr>
              <w:spacing w:line="240" w:lineRule="auto"/>
              <w:jc w:val="both"/>
              <w:rPr>
                <w:rFonts w:ascii="Times New Roman" w:hAnsi="Times New Roman"/>
                <w:i/>
                <w:iCs/>
                <w:noProof/>
                <w:color w:val="000000"/>
                <w:sz w:val="21"/>
                <w:szCs w:val="21"/>
              </w:rPr>
            </w:pPr>
            <w:r>
              <w:rPr>
                <w:rFonts w:ascii="Times New Roman" w:hAnsi="Times New Roman"/>
                <w:color w:val="000000"/>
                <w:sz w:val="21"/>
                <w:szCs w:val="21"/>
              </w:rPr>
              <w:t xml:space="preserve"> </w:t>
            </w:r>
          </w:p>
        </w:tc>
      </w:tr>
      <w:tr w:rsidR="00137409" w:rsidRPr="0066079A" w14:paraId="33157939" w14:textId="77777777" w:rsidTr="00A87747">
        <w:trPr>
          <w:gridAfter w:val="1"/>
          <w:wAfter w:w="13" w:type="dxa"/>
          <w:trHeight w:val="345"/>
        </w:trPr>
        <w:tc>
          <w:tcPr>
            <w:tcW w:w="10937" w:type="dxa"/>
            <w:gridSpan w:val="29"/>
            <w:shd w:val="clear" w:color="auto" w:fill="99CCFF"/>
          </w:tcPr>
          <w:p w14:paraId="0F3D05D5" w14:textId="77777777" w:rsidR="00137409" w:rsidRPr="0066079A" w:rsidRDefault="00137409" w:rsidP="00180F9D">
            <w:pPr>
              <w:numPr>
                <w:ilvl w:val="0"/>
                <w:numId w:val="3"/>
              </w:numPr>
              <w:spacing w:before="120" w:after="120" w:line="240" w:lineRule="auto"/>
              <w:jc w:val="both"/>
              <w:rPr>
                <w:rFonts w:ascii="Times New Roman" w:hAnsi="Times New Roman"/>
                <w:b/>
                <w:color w:val="000000"/>
                <w:spacing w:val="-2"/>
                <w:sz w:val="21"/>
                <w:szCs w:val="21"/>
              </w:rPr>
            </w:pPr>
            <w:r w:rsidRPr="0066079A">
              <w:rPr>
                <w:rFonts w:ascii="Times New Roman" w:hAnsi="Times New Roman"/>
                <w:b/>
                <w:color w:val="000000"/>
                <w:spacing w:val="-2"/>
                <w:sz w:val="21"/>
                <w:szCs w:val="21"/>
              </w:rPr>
              <w:t xml:space="preserve">Wpływ na </w:t>
            </w:r>
            <w:r w:rsidRPr="0066079A">
              <w:rPr>
                <w:rFonts w:ascii="Times New Roman" w:hAnsi="Times New Roman"/>
                <w:b/>
                <w:color w:val="000000"/>
                <w:sz w:val="21"/>
                <w:szCs w:val="21"/>
              </w:rPr>
              <w:t xml:space="preserve">konkurencyjność gospodarki i przedsiębiorczość, w tym funkcjonowanie przedsiębiorców oraz na rodzinę, obywateli i gospodarstwa domowe </w:t>
            </w:r>
          </w:p>
        </w:tc>
      </w:tr>
      <w:tr w:rsidR="00137409" w:rsidRPr="0066079A" w14:paraId="5904C328" w14:textId="77777777" w:rsidTr="00A87747">
        <w:trPr>
          <w:gridAfter w:val="1"/>
          <w:wAfter w:w="13" w:type="dxa"/>
          <w:trHeight w:val="142"/>
        </w:trPr>
        <w:tc>
          <w:tcPr>
            <w:tcW w:w="10937" w:type="dxa"/>
            <w:gridSpan w:val="29"/>
            <w:shd w:val="clear" w:color="auto" w:fill="FFFFFF"/>
          </w:tcPr>
          <w:p w14:paraId="59D84610" w14:textId="77777777" w:rsidR="00137409" w:rsidRPr="0066079A" w:rsidRDefault="00137409" w:rsidP="00180F9D">
            <w:pPr>
              <w:spacing w:line="240" w:lineRule="auto"/>
              <w:jc w:val="center"/>
              <w:rPr>
                <w:rFonts w:ascii="Times New Roman" w:hAnsi="Times New Roman"/>
                <w:color w:val="000000"/>
                <w:spacing w:val="-2"/>
                <w:sz w:val="21"/>
                <w:szCs w:val="21"/>
              </w:rPr>
            </w:pPr>
            <w:r w:rsidRPr="0066079A">
              <w:rPr>
                <w:rFonts w:ascii="Times New Roman" w:hAnsi="Times New Roman"/>
                <w:color w:val="000000"/>
                <w:spacing w:val="-2"/>
                <w:sz w:val="21"/>
                <w:szCs w:val="21"/>
              </w:rPr>
              <w:t>Skutki</w:t>
            </w:r>
          </w:p>
        </w:tc>
      </w:tr>
      <w:tr w:rsidR="00137409" w:rsidRPr="0066079A" w14:paraId="195EC54A" w14:textId="77777777" w:rsidTr="00A87747">
        <w:trPr>
          <w:gridAfter w:val="1"/>
          <w:wAfter w:w="13" w:type="dxa"/>
          <w:trHeight w:val="142"/>
        </w:trPr>
        <w:tc>
          <w:tcPr>
            <w:tcW w:w="3881" w:type="dxa"/>
            <w:gridSpan w:val="7"/>
            <w:shd w:val="clear" w:color="auto" w:fill="FFFFFF"/>
          </w:tcPr>
          <w:p w14:paraId="26BFAC3A" w14:textId="77777777"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t>Czas w latach od wejścia w życie zmian</w:t>
            </w:r>
          </w:p>
        </w:tc>
        <w:tc>
          <w:tcPr>
            <w:tcW w:w="937" w:type="dxa"/>
            <w:gridSpan w:val="2"/>
            <w:shd w:val="clear" w:color="auto" w:fill="FFFFFF"/>
          </w:tcPr>
          <w:p w14:paraId="223EE69E" w14:textId="77777777" w:rsidR="00137409" w:rsidRPr="0066079A" w:rsidRDefault="00137409" w:rsidP="00180F9D">
            <w:pPr>
              <w:spacing w:line="240" w:lineRule="auto"/>
              <w:jc w:val="center"/>
              <w:rPr>
                <w:rFonts w:ascii="Times New Roman" w:hAnsi="Times New Roman"/>
                <w:color w:val="000000"/>
                <w:sz w:val="21"/>
                <w:szCs w:val="21"/>
              </w:rPr>
            </w:pPr>
            <w:r w:rsidRPr="0066079A">
              <w:rPr>
                <w:rFonts w:ascii="Times New Roman" w:hAnsi="Times New Roman"/>
                <w:color w:val="000000"/>
                <w:sz w:val="21"/>
                <w:szCs w:val="21"/>
              </w:rPr>
              <w:t>0</w:t>
            </w:r>
          </w:p>
          <w:p w14:paraId="6222020E" w14:textId="77777777" w:rsidR="00137409" w:rsidRPr="0066079A" w:rsidRDefault="00137409" w:rsidP="00180F9D">
            <w:pPr>
              <w:spacing w:line="240" w:lineRule="auto"/>
              <w:jc w:val="center"/>
              <w:rPr>
                <w:rFonts w:ascii="Times New Roman" w:hAnsi="Times New Roman"/>
                <w:color w:val="000000"/>
                <w:sz w:val="21"/>
                <w:szCs w:val="21"/>
              </w:rPr>
            </w:pPr>
            <w:r w:rsidRPr="0066079A">
              <w:rPr>
                <w:rFonts w:ascii="Times New Roman" w:hAnsi="Times New Roman"/>
                <w:color w:val="000000"/>
                <w:sz w:val="21"/>
                <w:szCs w:val="21"/>
              </w:rPr>
              <w:t>2024</w:t>
            </w:r>
          </w:p>
        </w:tc>
        <w:tc>
          <w:tcPr>
            <w:tcW w:w="938" w:type="dxa"/>
            <w:gridSpan w:val="5"/>
            <w:shd w:val="clear" w:color="auto" w:fill="FFFFFF"/>
          </w:tcPr>
          <w:p w14:paraId="4DB5B7F0" w14:textId="77777777" w:rsidR="00137409" w:rsidRPr="0066079A" w:rsidRDefault="00137409" w:rsidP="00180F9D">
            <w:pPr>
              <w:spacing w:line="240" w:lineRule="auto"/>
              <w:jc w:val="center"/>
              <w:rPr>
                <w:rFonts w:ascii="Times New Roman" w:hAnsi="Times New Roman"/>
                <w:color w:val="000000"/>
                <w:sz w:val="21"/>
                <w:szCs w:val="21"/>
              </w:rPr>
            </w:pPr>
            <w:r w:rsidRPr="0066079A">
              <w:rPr>
                <w:rFonts w:ascii="Times New Roman" w:hAnsi="Times New Roman"/>
                <w:color w:val="000000"/>
                <w:sz w:val="21"/>
                <w:szCs w:val="21"/>
              </w:rPr>
              <w:t>1</w:t>
            </w:r>
          </w:p>
          <w:p w14:paraId="4F5E5EC2" w14:textId="77777777" w:rsidR="00137409" w:rsidRPr="0066079A" w:rsidRDefault="00137409" w:rsidP="00180F9D">
            <w:pPr>
              <w:spacing w:line="240" w:lineRule="auto"/>
              <w:jc w:val="center"/>
              <w:rPr>
                <w:rFonts w:ascii="Times New Roman" w:hAnsi="Times New Roman"/>
                <w:color w:val="000000"/>
                <w:sz w:val="21"/>
                <w:szCs w:val="21"/>
              </w:rPr>
            </w:pPr>
            <w:r w:rsidRPr="0066079A">
              <w:rPr>
                <w:rFonts w:ascii="Times New Roman" w:hAnsi="Times New Roman"/>
                <w:color w:val="000000"/>
                <w:sz w:val="21"/>
                <w:szCs w:val="21"/>
              </w:rPr>
              <w:t>2025</w:t>
            </w:r>
          </w:p>
        </w:tc>
        <w:tc>
          <w:tcPr>
            <w:tcW w:w="938" w:type="dxa"/>
            <w:gridSpan w:val="3"/>
            <w:shd w:val="clear" w:color="auto" w:fill="FFFFFF"/>
          </w:tcPr>
          <w:p w14:paraId="726619E1" w14:textId="77777777" w:rsidR="00137409" w:rsidRPr="0066079A" w:rsidRDefault="00137409" w:rsidP="00180F9D">
            <w:pPr>
              <w:spacing w:line="240" w:lineRule="auto"/>
              <w:jc w:val="center"/>
              <w:rPr>
                <w:rFonts w:ascii="Times New Roman" w:hAnsi="Times New Roman"/>
                <w:color w:val="000000"/>
                <w:sz w:val="21"/>
                <w:szCs w:val="21"/>
              </w:rPr>
            </w:pPr>
            <w:r w:rsidRPr="0066079A">
              <w:rPr>
                <w:rFonts w:ascii="Times New Roman" w:hAnsi="Times New Roman"/>
                <w:color w:val="000000"/>
                <w:sz w:val="21"/>
                <w:szCs w:val="21"/>
              </w:rPr>
              <w:t>2</w:t>
            </w:r>
          </w:p>
          <w:p w14:paraId="51FBD209" w14:textId="77777777" w:rsidR="00137409" w:rsidRPr="0066079A" w:rsidRDefault="00137409" w:rsidP="00180F9D">
            <w:pPr>
              <w:spacing w:line="240" w:lineRule="auto"/>
              <w:jc w:val="center"/>
              <w:rPr>
                <w:rFonts w:ascii="Times New Roman" w:hAnsi="Times New Roman"/>
                <w:color w:val="000000"/>
                <w:sz w:val="21"/>
                <w:szCs w:val="21"/>
              </w:rPr>
            </w:pPr>
            <w:r w:rsidRPr="0066079A">
              <w:rPr>
                <w:rFonts w:ascii="Times New Roman" w:hAnsi="Times New Roman"/>
                <w:color w:val="000000"/>
                <w:sz w:val="21"/>
                <w:szCs w:val="21"/>
              </w:rPr>
              <w:t>2026</w:t>
            </w:r>
          </w:p>
        </w:tc>
        <w:tc>
          <w:tcPr>
            <w:tcW w:w="937" w:type="dxa"/>
            <w:gridSpan w:val="4"/>
            <w:shd w:val="clear" w:color="auto" w:fill="FFFFFF"/>
          </w:tcPr>
          <w:p w14:paraId="44B58281" w14:textId="77777777" w:rsidR="00137409" w:rsidRPr="0066079A" w:rsidRDefault="00137409" w:rsidP="00180F9D">
            <w:pPr>
              <w:spacing w:line="240" w:lineRule="auto"/>
              <w:jc w:val="center"/>
              <w:rPr>
                <w:rFonts w:ascii="Times New Roman" w:hAnsi="Times New Roman"/>
                <w:color w:val="000000"/>
                <w:sz w:val="21"/>
                <w:szCs w:val="21"/>
              </w:rPr>
            </w:pPr>
            <w:r w:rsidRPr="0066079A">
              <w:rPr>
                <w:rFonts w:ascii="Times New Roman" w:hAnsi="Times New Roman"/>
                <w:color w:val="000000"/>
                <w:sz w:val="21"/>
                <w:szCs w:val="21"/>
              </w:rPr>
              <w:t>3</w:t>
            </w:r>
          </w:p>
          <w:p w14:paraId="025C6389" w14:textId="77777777" w:rsidR="00137409" w:rsidRPr="0066079A" w:rsidRDefault="00137409" w:rsidP="00180F9D">
            <w:pPr>
              <w:spacing w:line="240" w:lineRule="auto"/>
              <w:jc w:val="center"/>
              <w:rPr>
                <w:rFonts w:ascii="Times New Roman" w:hAnsi="Times New Roman"/>
                <w:color w:val="000000"/>
                <w:sz w:val="21"/>
                <w:szCs w:val="21"/>
              </w:rPr>
            </w:pPr>
            <w:r w:rsidRPr="0066079A">
              <w:rPr>
                <w:rFonts w:ascii="Times New Roman" w:hAnsi="Times New Roman"/>
                <w:color w:val="000000"/>
                <w:sz w:val="21"/>
                <w:szCs w:val="21"/>
              </w:rPr>
              <w:t>2027</w:t>
            </w:r>
          </w:p>
        </w:tc>
        <w:tc>
          <w:tcPr>
            <w:tcW w:w="938" w:type="dxa"/>
            <w:gridSpan w:val="3"/>
            <w:shd w:val="clear" w:color="auto" w:fill="FFFFFF"/>
          </w:tcPr>
          <w:p w14:paraId="2D633BFD" w14:textId="406A7EBE" w:rsidR="00137409" w:rsidRPr="0066079A" w:rsidRDefault="001F1DAB" w:rsidP="00180F9D">
            <w:pPr>
              <w:spacing w:line="240" w:lineRule="auto"/>
              <w:jc w:val="center"/>
              <w:rPr>
                <w:rFonts w:ascii="Times New Roman" w:hAnsi="Times New Roman"/>
                <w:color w:val="000000"/>
                <w:sz w:val="21"/>
                <w:szCs w:val="21"/>
              </w:rPr>
            </w:pPr>
            <w:r>
              <w:rPr>
                <w:rFonts w:ascii="Times New Roman" w:hAnsi="Times New Roman"/>
                <w:color w:val="000000"/>
                <w:sz w:val="21"/>
                <w:szCs w:val="21"/>
              </w:rPr>
              <w:t>5</w:t>
            </w:r>
          </w:p>
          <w:p w14:paraId="53011BBF" w14:textId="508D2812" w:rsidR="00137409" w:rsidRPr="0066079A" w:rsidRDefault="00137409" w:rsidP="00180F9D">
            <w:pPr>
              <w:spacing w:line="240" w:lineRule="auto"/>
              <w:jc w:val="center"/>
              <w:rPr>
                <w:rFonts w:ascii="Times New Roman" w:hAnsi="Times New Roman"/>
                <w:color w:val="000000"/>
                <w:sz w:val="21"/>
                <w:szCs w:val="21"/>
              </w:rPr>
            </w:pPr>
            <w:r w:rsidRPr="0066079A">
              <w:rPr>
                <w:rFonts w:ascii="Times New Roman" w:hAnsi="Times New Roman"/>
                <w:color w:val="000000"/>
                <w:sz w:val="21"/>
                <w:szCs w:val="21"/>
              </w:rPr>
              <w:t>202</w:t>
            </w:r>
            <w:r w:rsidR="001F1DAB">
              <w:rPr>
                <w:rFonts w:ascii="Times New Roman" w:hAnsi="Times New Roman"/>
                <w:color w:val="000000"/>
                <w:sz w:val="21"/>
                <w:szCs w:val="21"/>
              </w:rPr>
              <w:t>9</w:t>
            </w:r>
          </w:p>
        </w:tc>
        <w:tc>
          <w:tcPr>
            <w:tcW w:w="938" w:type="dxa"/>
            <w:gridSpan w:val="3"/>
            <w:shd w:val="clear" w:color="auto" w:fill="FFFFFF"/>
          </w:tcPr>
          <w:p w14:paraId="6C926020" w14:textId="52472DB4" w:rsidR="00137409" w:rsidRPr="0066079A" w:rsidRDefault="001F1DAB" w:rsidP="00180F9D">
            <w:pPr>
              <w:spacing w:line="240" w:lineRule="auto"/>
              <w:jc w:val="center"/>
              <w:rPr>
                <w:rFonts w:ascii="Times New Roman" w:hAnsi="Times New Roman"/>
                <w:color w:val="000000"/>
                <w:sz w:val="21"/>
                <w:szCs w:val="21"/>
              </w:rPr>
            </w:pPr>
            <w:r>
              <w:rPr>
                <w:rFonts w:ascii="Times New Roman" w:hAnsi="Times New Roman"/>
                <w:color w:val="000000"/>
                <w:sz w:val="21"/>
                <w:szCs w:val="21"/>
              </w:rPr>
              <w:t>10</w:t>
            </w:r>
          </w:p>
          <w:p w14:paraId="467EA17D" w14:textId="0FB13334" w:rsidR="00137409" w:rsidRPr="0066079A" w:rsidRDefault="00137409" w:rsidP="00180F9D">
            <w:pPr>
              <w:spacing w:line="240" w:lineRule="auto"/>
              <w:jc w:val="center"/>
              <w:rPr>
                <w:rFonts w:ascii="Times New Roman" w:hAnsi="Times New Roman"/>
                <w:color w:val="000000"/>
                <w:sz w:val="21"/>
                <w:szCs w:val="21"/>
              </w:rPr>
            </w:pPr>
            <w:r>
              <w:rPr>
                <w:rFonts w:ascii="Times New Roman" w:hAnsi="Times New Roman"/>
                <w:color w:val="000000"/>
                <w:sz w:val="21"/>
                <w:szCs w:val="21"/>
              </w:rPr>
              <w:t>20</w:t>
            </w:r>
            <w:r w:rsidR="001F1DAB">
              <w:rPr>
                <w:rFonts w:ascii="Times New Roman" w:hAnsi="Times New Roman"/>
                <w:color w:val="000000"/>
                <w:sz w:val="21"/>
                <w:szCs w:val="21"/>
              </w:rPr>
              <w:t>34</w:t>
            </w:r>
          </w:p>
        </w:tc>
        <w:tc>
          <w:tcPr>
            <w:tcW w:w="1430" w:type="dxa"/>
            <w:gridSpan w:val="2"/>
            <w:shd w:val="clear" w:color="auto" w:fill="FFFFFF"/>
          </w:tcPr>
          <w:p w14:paraId="0306079D" w14:textId="1C05F915" w:rsidR="00137409" w:rsidRPr="0066079A" w:rsidRDefault="00137409" w:rsidP="00180F9D">
            <w:pPr>
              <w:spacing w:line="240" w:lineRule="auto"/>
              <w:jc w:val="center"/>
              <w:rPr>
                <w:rFonts w:ascii="Times New Roman" w:hAnsi="Times New Roman"/>
                <w:i/>
                <w:color w:val="000000"/>
                <w:spacing w:val="-2"/>
                <w:sz w:val="21"/>
                <w:szCs w:val="21"/>
              </w:rPr>
            </w:pPr>
            <w:r w:rsidRPr="0066079A">
              <w:rPr>
                <w:rFonts w:ascii="Times New Roman" w:hAnsi="Times New Roman"/>
                <w:i/>
                <w:color w:val="000000"/>
                <w:spacing w:val="-2"/>
                <w:sz w:val="21"/>
                <w:szCs w:val="21"/>
              </w:rPr>
              <w:t>Łącznie</w:t>
            </w:r>
            <w:r w:rsidRPr="0066079A" w:rsidDel="0073273A">
              <w:rPr>
                <w:rFonts w:ascii="Times New Roman" w:hAnsi="Times New Roman"/>
                <w:i/>
                <w:color w:val="000000"/>
                <w:spacing w:val="-2"/>
                <w:sz w:val="21"/>
                <w:szCs w:val="21"/>
              </w:rPr>
              <w:t xml:space="preserve"> </w:t>
            </w:r>
            <w:r w:rsidRPr="0066079A">
              <w:rPr>
                <w:rFonts w:ascii="Times New Roman" w:hAnsi="Times New Roman"/>
                <w:i/>
                <w:color w:val="000000"/>
                <w:spacing w:val="-2"/>
                <w:sz w:val="21"/>
                <w:szCs w:val="21"/>
              </w:rPr>
              <w:t>(0-</w:t>
            </w:r>
            <w:r w:rsidR="001F1DAB">
              <w:rPr>
                <w:rFonts w:ascii="Times New Roman" w:hAnsi="Times New Roman"/>
                <w:i/>
                <w:color w:val="000000"/>
                <w:spacing w:val="-2"/>
                <w:sz w:val="21"/>
                <w:szCs w:val="21"/>
              </w:rPr>
              <w:t>10</w:t>
            </w:r>
            <w:r w:rsidRPr="0066079A">
              <w:rPr>
                <w:rFonts w:ascii="Times New Roman" w:hAnsi="Times New Roman"/>
                <w:i/>
                <w:color w:val="000000"/>
                <w:spacing w:val="-2"/>
                <w:sz w:val="21"/>
                <w:szCs w:val="21"/>
              </w:rPr>
              <w:t>)</w:t>
            </w:r>
          </w:p>
        </w:tc>
      </w:tr>
      <w:tr w:rsidR="00137409" w:rsidRPr="0066079A" w14:paraId="60A73BDF" w14:textId="77777777" w:rsidTr="00A87747">
        <w:trPr>
          <w:gridAfter w:val="1"/>
          <w:wAfter w:w="13" w:type="dxa"/>
          <w:trHeight w:val="142"/>
        </w:trPr>
        <w:tc>
          <w:tcPr>
            <w:tcW w:w="1593" w:type="dxa"/>
            <w:vMerge w:val="restart"/>
            <w:shd w:val="clear" w:color="auto" w:fill="FFFFFF"/>
          </w:tcPr>
          <w:p w14:paraId="63C364A6" w14:textId="77777777"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t>W ujęciu pieniężnym</w:t>
            </w:r>
          </w:p>
          <w:p w14:paraId="59F9310F" w14:textId="77777777" w:rsidR="00137409" w:rsidRPr="0066079A" w:rsidRDefault="00137409" w:rsidP="00180F9D">
            <w:pPr>
              <w:spacing w:line="240" w:lineRule="auto"/>
              <w:rPr>
                <w:rFonts w:ascii="Times New Roman" w:hAnsi="Times New Roman"/>
                <w:spacing w:val="-2"/>
                <w:sz w:val="21"/>
                <w:szCs w:val="21"/>
              </w:rPr>
            </w:pPr>
            <w:r w:rsidRPr="0066079A">
              <w:rPr>
                <w:rFonts w:ascii="Times New Roman" w:hAnsi="Times New Roman"/>
                <w:spacing w:val="-2"/>
                <w:sz w:val="21"/>
                <w:szCs w:val="21"/>
              </w:rPr>
              <w:t xml:space="preserve">(w mln zł, </w:t>
            </w:r>
          </w:p>
          <w:p w14:paraId="47DBF6D9" w14:textId="58052334"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spacing w:val="-2"/>
                <w:sz w:val="21"/>
                <w:szCs w:val="21"/>
              </w:rPr>
              <w:t xml:space="preserve">ceny stałe z </w:t>
            </w:r>
            <w:r w:rsidR="00AF4CC6">
              <w:rPr>
                <w:rFonts w:ascii="Times New Roman" w:hAnsi="Times New Roman"/>
                <w:spacing w:val="-2"/>
                <w:sz w:val="21"/>
                <w:szCs w:val="21"/>
              </w:rPr>
              <w:t>2024</w:t>
            </w:r>
            <w:r w:rsidR="00AF4CC6" w:rsidRPr="0066079A">
              <w:rPr>
                <w:rFonts w:ascii="Times New Roman" w:hAnsi="Times New Roman"/>
                <w:spacing w:val="-2"/>
                <w:sz w:val="21"/>
                <w:szCs w:val="21"/>
              </w:rPr>
              <w:t xml:space="preserve"> </w:t>
            </w:r>
            <w:r w:rsidRPr="0066079A">
              <w:rPr>
                <w:rFonts w:ascii="Times New Roman" w:hAnsi="Times New Roman"/>
                <w:spacing w:val="-2"/>
                <w:sz w:val="21"/>
                <w:szCs w:val="21"/>
              </w:rPr>
              <w:t>r.)</w:t>
            </w:r>
          </w:p>
        </w:tc>
        <w:tc>
          <w:tcPr>
            <w:tcW w:w="2288" w:type="dxa"/>
            <w:gridSpan w:val="6"/>
            <w:shd w:val="clear" w:color="auto" w:fill="FFFFFF"/>
          </w:tcPr>
          <w:p w14:paraId="5C99B9F9" w14:textId="77777777"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t>duże przedsiębiorstwa</w:t>
            </w:r>
          </w:p>
        </w:tc>
        <w:tc>
          <w:tcPr>
            <w:tcW w:w="937" w:type="dxa"/>
            <w:gridSpan w:val="2"/>
            <w:shd w:val="clear" w:color="auto" w:fill="FFFFFF"/>
          </w:tcPr>
          <w:p w14:paraId="108068D1" w14:textId="77777777" w:rsidR="00137409" w:rsidRPr="0066079A" w:rsidRDefault="00137409" w:rsidP="00180F9D">
            <w:pPr>
              <w:spacing w:line="240" w:lineRule="auto"/>
              <w:rPr>
                <w:rFonts w:ascii="Times New Roman" w:hAnsi="Times New Roman"/>
                <w:color w:val="000000"/>
                <w:sz w:val="21"/>
                <w:szCs w:val="21"/>
              </w:rPr>
            </w:pPr>
          </w:p>
        </w:tc>
        <w:tc>
          <w:tcPr>
            <w:tcW w:w="938" w:type="dxa"/>
            <w:gridSpan w:val="5"/>
            <w:shd w:val="clear" w:color="auto" w:fill="FFFFFF"/>
          </w:tcPr>
          <w:p w14:paraId="2941C7DC" w14:textId="77777777" w:rsidR="00137409" w:rsidRPr="0066079A" w:rsidRDefault="00137409" w:rsidP="00180F9D">
            <w:pPr>
              <w:spacing w:line="240" w:lineRule="auto"/>
              <w:rPr>
                <w:rFonts w:ascii="Times New Roman" w:hAnsi="Times New Roman"/>
                <w:color w:val="000000"/>
                <w:sz w:val="21"/>
                <w:szCs w:val="21"/>
              </w:rPr>
            </w:pPr>
          </w:p>
        </w:tc>
        <w:tc>
          <w:tcPr>
            <w:tcW w:w="938" w:type="dxa"/>
            <w:gridSpan w:val="3"/>
            <w:shd w:val="clear" w:color="auto" w:fill="FFFFFF"/>
          </w:tcPr>
          <w:p w14:paraId="5B9D03A9" w14:textId="77777777" w:rsidR="00137409" w:rsidRPr="0066079A" w:rsidRDefault="00137409" w:rsidP="00180F9D">
            <w:pPr>
              <w:spacing w:line="240" w:lineRule="auto"/>
              <w:rPr>
                <w:rFonts w:ascii="Times New Roman" w:hAnsi="Times New Roman"/>
                <w:color w:val="000000"/>
                <w:sz w:val="21"/>
                <w:szCs w:val="21"/>
              </w:rPr>
            </w:pPr>
          </w:p>
        </w:tc>
        <w:tc>
          <w:tcPr>
            <w:tcW w:w="937" w:type="dxa"/>
            <w:gridSpan w:val="4"/>
            <w:shd w:val="clear" w:color="auto" w:fill="FFFFFF"/>
          </w:tcPr>
          <w:p w14:paraId="31A241D6" w14:textId="77777777" w:rsidR="00137409" w:rsidRPr="0066079A" w:rsidRDefault="00137409" w:rsidP="00180F9D">
            <w:pPr>
              <w:spacing w:line="240" w:lineRule="auto"/>
              <w:rPr>
                <w:rFonts w:ascii="Times New Roman" w:hAnsi="Times New Roman"/>
                <w:color w:val="000000"/>
                <w:sz w:val="21"/>
                <w:szCs w:val="21"/>
              </w:rPr>
            </w:pPr>
          </w:p>
        </w:tc>
        <w:tc>
          <w:tcPr>
            <w:tcW w:w="938" w:type="dxa"/>
            <w:gridSpan w:val="3"/>
            <w:shd w:val="clear" w:color="auto" w:fill="FFFFFF"/>
          </w:tcPr>
          <w:p w14:paraId="38C4879C" w14:textId="77777777" w:rsidR="00137409" w:rsidRPr="0066079A" w:rsidRDefault="00137409" w:rsidP="00180F9D">
            <w:pPr>
              <w:spacing w:line="240" w:lineRule="auto"/>
              <w:rPr>
                <w:rFonts w:ascii="Times New Roman" w:hAnsi="Times New Roman"/>
                <w:color w:val="000000"/>
                <w:sz w:val="21"/>
                <w:szCs w:val="21"/>
              </w:rPr>
            </w:pPr>
          </w:p>
        </w:tc>
        <w:tc>
          <w:tcPr>
            <w:tcW w:w="938" w:type="dxa"/>
            <w:gridSpan w:val="3"/>
            <w:shd w:val="clear" w:color="auto" w:fill="FFFFFF"/>
          </w:tcPr>
          <w:p w14:paraId="66932F7B" w14:textId="77777777" w:rsidR="00137409" w:rsidRPr="0066079A" w:rsidRDefault="00137409" w:rsidP="00180F9D">
            <w:pPr>
              <w:spacing w:line="240" w:lineRule="auto"/>
              <w:rPr>
                <w:rFonts w:ascii="Times New Roman" w:hAnsi="Times New Roman"/>
                <w:color w:val="000000"/>
                <w:sz w:val="21"/>
                <w:szCs w:val="21"/>
              </w:rPr>
            </w:pPr>
          </w:p>
        </w:tc>
        <w:tc>
          <w:tcPr>
            <w:tcW w:w="1430" w:type="dxa"/>
            <w:gridSpan w:val="2"/>
            <w:shd w:val="clear" w:color="auto" w:fill="FFFFFF"/>
          </w:tcPr>
          <w:p w14:paraId="37916A49" w14:textId="77777777" w:rsidR="00137409" w:rsidRPr="0066079A" w:rsidRDefault="00137409" w:rsidP="00180F9D">
            <w:pPr>
              <w:spacing w:line="240" w:lineRule="auto"/>
              <w:rPr>
                <w:rFonts w:ascii="Times New Roman" w:hAnsi="Times New Roman"/>
                <w:color w:val="000000"/>
                <w:spacing w:val="-2"/>
                <w:sz w:val="21"/>
                <w:szCs w:val="21"/>
              </w:rPr>
            </w:pPr>
          </w:p>
        </w:tc>
      </w:tr>
      <w:tr w:rsidR="00137409" w:rsidRPr="0066079A" w14:paraId="467E21F5" w14:textId="77777777" w:rsidTr="00A87747">
        <w:trPr>
          <w:gridAfter w:val="1"/>
          <w:wAfter w:w="13" w:type="dxa"/>
          <w:trHeight w:val="142"/>
        </w:trPr>
        <w:tc>
          <w:tcPr>
            <w:tcW w:w="1593" w:type="dxa"/>
            <w:vMerge/>
            <w:shd w:val="clear" w:color="auto" w:fill="FFFFFF"/>
          </w:tcPr>
          <w:p w14:paraId="0AB0D38D" w14:textId="77777777" w:rsidR="00137409" w:rsidRPr="0066079A" w:rsidRDefault="00137409" w:rsidP="00180F9D">
            <w:pPr>
              <w:spacing w:line="240" w:lineRule="auto"/>
              <w:rPr>
                <w:rFonts w:ascii="Times New Roman" w:hAnsi="Times New Roman"/>
                <w:color w:val="000000"/>
                <w:sz w:val="21"/>
                <w:szCs w:val="21"/>
              </w:rPr>
            </w:pPr>
          </w:p>
        </w:tc>
        <w:tc>
          <w:tcPr>
            <w:tcW w:w="2288" w:type="dxa"/>
            <w:gridSpan w:val="6"/>
            <w:shd w:val="clear" w:color="auto" w:fill="FFFFFF"/>
          </w:tcPr>
          <w:p w14:paraId="3CB06D2A" w14:textId="77777777"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t>sektor mikro-, małych i średnich przedsiębiorstw</w:t>
            </w:r>
          </w:p>
        </w:tc>
        <w:tc>
          <w:tcPr>
            <w:tcW w:w="937" w:type="dxa"/>
            <w:gridSpan w:val="2"/>
            <w:shd w:val="clear" w:color="auto" w:fill="FFFFFF"/>
          </w:tcPr>
          <w:p w14:paraId="5758ACCA" w14:textId="4539901A" w:rsidR="00137409" w:rsidRPr="0066079A" w:rsidRDefault="00913057" w:rsidP="00180F9D">
            <w:pPr>
              <w:spacing w:line="240" w:lineRule="auto"/>
              <w:rPr>
                <w:rFonts w:ascii="Times New Roman" w:hAnsi="Times New Roman"/>
                <w:color w:val="000000"/>
                <w:sz w:val="21"/>
                <w:szCs w:val="21"/>
              </w:rPr>
            </w:pPr>
            <w:r>
              <w:rPr>
                <w:rFonts w:ascii="Times New Roman" w:hAnsi="Times New Roman"/>
                <w:color w:val="000000"/>
                <w:sz w:val="21"/>
                <w:szCs w:val="21"/>
              </w:rPr>
              <w:t>0,8</w:t>
            </w:r>
          </w:p>
        </w:tc>
        <w:tc>
          <w:tcPr>
            <w:tcW w:w="938" w:type="dxa"/>
            <w:gridSpan w:val="5"/>
            <w:shd w:val="clear" w:color="auto" w:fill="FFFFFF"/>
          </w:tcPr>
          <w:p w14:paraId="7FE994A0" w14:textId="7753BA65" w:rsidR="00137409" w:rsidRPr="0066079A" w:rsidRDefault="00913057" w:rsidP="00180F9D">
            <w:pPr>
              <w:spacing w:line="240" w:lineRule="auto"/>
              <w:rPr>
                <w:rFonts w:ascii="Times New Roman" w:hAnsi="Times New Roman"/>
                <w:color w:val="000000"/>
                <w:sz w:val="21"/>
                <w:szCs w:val="21"/>
              </w:rPr>
            </w:pPr>
            <w:r>
              <w:rPr>
                <w:rFonts w:ascii="Times New Roman" w:hAnsi="Times New Roman"/>
                <w:color w:val="000000"/>
                <w:sz w:val="21"/>
                <w:szCs w:val="21"/>
              </w:rPr>
              <w:t>0,2</w:t>
            </w:r>
          </w:p>
        </w:tc>
        <w:tc>
          <w:tcPr>
            <w:tcW w:w="938" w:type="dxa"/>
            <w:gridSpan w:val="3"/>
            <w:shd w:val="clear" w:color="auto" w:fill="FFFFFF"/>
          </w:tcPr>
          <w:p w14:paraId="3EF7B6C3" w14:textId="77777777" w:rsidR="00137409" w:rsidRPr="0066079A" w:rsidRDefault="00137409" w:rsidP="00180F9D">
            <w:pPr>
              <w:spacing w:line="240" w:lineRule="auto"/>
              <w:rPr>
                <w:rFonts w:ascii="Times New Roman" w:hAnsi="Times New Roman"/>
                <w:color w:val="000000"/>
                <w:sz w:val="21"/>
                <w:szCs w:val="21"/>
              </w:rPr>
            </w:pPr>
          </w:p>
        </w:tc>
        <w:tc>
          <w:tcPr>
            <w:tcW w:w="937" w:type="dxa"/>
            <w:gridSpan w:val="4"/>
            <w:shd w:val="clear" w:color="auto" w:fill="FFFFFF"/>
          </w:tcPr>
          <w:p w14:paraId="402B1B66" w14:textId="77777777" w:rsidR="00137409" w:rsidRPr="0066079A" w:rsidRDefault="00137409" w:rsidP="00180F9D">
            <w:pPr>
              <w:spacing w:line="240" w:lineRule="auto"/>
              <w:rPr>
                <w:rFonts w:ascii="Times New Roman" w:hAnsi="Times New Roman"/>
                <w:color w:val="000000"/>
                <w:sz w:val="21"/>
                <w:szCs w:val="21"/>
              </w:rPr>
            </w:pPr>
          </w:p>
        </w:tc>
        <w:tc>
          <w:tcPr>
            <w:tcW w:w="938" w:type="dxa"/>
            <w:gridSpan w:val="3"/>
            <w:shd w:val="clear" w:color="auto" w:fill="FFFFFF"/>
          </w:tcPr>
          <w:p w14:paraId="50C6F99C" w14:textId="77777777" w:rsidR="00137409" w:rsidRPr="0066079A" w:rsidRDefault="00137409" w:rsidP="00180F9D">
            <w:pPr>
              <w:spacing w:line="240" w:lineRule="auto"/>
              <w:rPr>
                <w:rFonts w:ascii="Times New Roman" w:hAnsi="Times New Roman"/>
                <w:color w:val="000000"/>
                <w:sz w:val="21"/>
                <w:szCs w:val="21"/>
              </w:rPr>
            </w:pPr>
          </w:p>
        </w:tc>
        <w:tc>
          <w:tcPr>
            <w:tcW w:w="938" w:type="dxa"/>
            <w:gridSpan w:val="3"/>
            <w:shd w:val="clear" w:color="auto" w:fill="FFFFFF"/>
          </w:tcPr>
          <w:p w14:paraId="7C62C28A" w14:textId="77777777" w:rsidR="00137409" w:rsidRPr="0066079A" w:rsidRDefault="00137409" w:rsidP="00180F9D">
            <w:pPr>
              <w:spacing w:line="240" w:lineRule="auto"/>
              <w:rPr>
                <w:rFonts w:ascii="Times New Roman" w:hAnsi="Times New Roman"/>
                <w:color w:val="000000"/>
                <w:sz w:val="21"/>
                <w:szCs w:val="21"/>
              </w:rPr>
            </w:pPr>
          </w:p>
        </w:tc>
        <w:tc>
          <w:tcPr>
            <w:tcW w:w="1430" w:type="dxa"/>
            <w:gridSpan w:val="2"/>
            <w:shd w:val="clear" w:color="auto" w:fill="FFFFFF"/>
          </w:tcPr>
          <w:p w14:paraId="73CE2569" w14:textId="6222BBB6" w:rsidR="00137409" w:rsidRPr="0066079A" w:rsidRDefault="00913057" w:rsidP="00180F9D">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1</w:t>
            </w:r>
          </w:p>
        </w:tc>
      </w:tr>
      <w:tr w:rsidR="00137409" w:rsidRPr="0066079A" w14:paraId="05DD4CC2" w14:textId="77777777" w:rsidTr="00A87747">
        <w:trPr>
          <w:gridAfter w:val="1"/>
          <w:wAfter w:w="13" w:type="dxa"/>
          <w:trHeight w:val="142"/>
        </w:trPr>
        <w:tc>
          <w:tcPr>
            <w:tcW w:w="1593" w:type="dxa"/>
            <w:vMerge/>
            <w:shd w:val="clear" w:color="auto" w:fill="FFFFFF"/>
          </w:tcPr>
          <w:p w14:paraId="6FE994BC" w14:textId="77777777" w:rsidR="00137409" w:rsidRPr="0066079A" w:rsidRDefault="00137409" w:rsidP="00180F9D">
            <w:pPr>
              <w:spacing w:line="240" w:lineRule="auto"/>
              <w:rPr>
                <w:rFonts w:ascii="Times New Roman" w:hAnsi="Times New Roman"/>
                <w:color w:val="000000"/>
                <w:sz w:val="21"/>
                <w:szCs w:val="21"/>
              </w:rPr>
            </w:pPr>
          </w:p>
        </w:tc>
        <w:tc>
          <w:tcPr>
            <w:tcW w:w="2288" w:type="dxa"/>
            <w:gridSpan w:val="6"/>
            <w:shd w:val="clear" w:color="auto" w:fill="FFFFFF"/>
          </w:tcPr>
          <w:p w14:paraId="6EFBDD3D" w14:textId="77777777"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sz w:val="21"/>
                <w:szCs w:val="21"/>
              </w:rPr>
              <w:t>rodzina, obywatele oraz gospodarstwa domowe</w:t>
            </w:r>
          </w:p>
        </w:tc>
        <w:tc>
          <w:tcPr>
            <w:tcW w:w="937" w:type="dxa"/>
            <w:gridSpan w:val="2"/>
            <w:shd w:val="clear" w:color="auto" w:fill="FFFFFF"/>
          </w:tcPr>
          <w:p w14:paraId="4F63718F" w14:textId="66CE4262" w:rsidR="00137409" w:rsidRPr="0066079A" w:rsidRDefault="00913057" w:rsidP="00180F9D">
            <w:pPr>
              <w:spacing w:line="240" w:lineRule="auto"/>
              <w:rPr>
                <w:rFonts w:ascii="Times New Roman" w:hAnsi="Times New Roman"/>
                <w:color w:val="000000"/>
                <w:sz w:val="21"/>
                <w:szCs w:val="21"/>
                <w:highlight w:val="yellow"/>
              </w:rPr>
            </w:pPr>
            <w:r>
              <w:rPr>
                <w:rFonts w:ascii="Times New Roman" w:hAnsi="Times New Roman"/>
                <w:color w:val="000000"/>
                <w:sz w:val="21"/>
                <w:szCs w:val="21"/>
              </w:rPr>
              <w:t>3,77</w:t>
            </w:r>
          </w:p>
        </w:tc>
        <w:tc>
          <w:tcPr>
            <w:tcW w:w="938" w:type="dxa"/>
            <w:gridSpan w:val="5"/>
            <w:shd w:val="clear" w:color="auto" w:fill="FFFFFF"/>
          </w:tcPr>
          <w:p w14:paraId="3508534A" w14:textId="2B1AF942" w:rsidR="00137409" w:rsidRPr="0066079A" w:rsidRDefault="00137409" w:rsidP="00180F9D">
            <w:pPr>
              <w:spacing w:line="240" w:lineRule="auto"/>
              <w:rPr>
                <w:rFonts w:ascii="Times New Roman" w:hAnsi="Times New Roman"/>
                <w:color w:val="000000"/>
                <w:sz w:val="21"/>
                <w:szCs w:val="21"/>
              </w:rPr>
            </w:pPr>
            <w:r>
              <w:rPr>
                <w:rFonts w:ascii="Times New Roman" w:hAnsi="Times New Roman"/>
                <w:color w:val="000000"/>
                <w:sz w:val="21"/>
                <w:szCs w:val="21"/>
              </w:rPr>
              <w:t>1,</w:t>
            </w:r>
            <w:r w:rsidR="00913057">
              <w:rPr>
                <w:rFonts w:ascii="Times New Roman" w:hAnsi="Times New Roman"/>
                <w:color w:val="000000"/>
                <w:sz w:val="21"/>
                <w:szCs w:val="21"/>
              </w:rPr>
              <w:t>5</w:t>
            </w:r>
            <w:r>
              <w:rPr>
                <w:rFonts w:ascii="Times New Roman" w:hAnsi="Times New Roman"/>
                <w:color w:val="000000"/>
                <w:sz w:val="21"/>
                <w:szCs w:val="21"/>
              </w:rPr>
              <w:t>53</w:t>
            </w:r>
          </w:p>
        </w:tc>
        <w:tc>
          <w:tcPr>
            <w:tcW w:w="938" w:type="dxa"/>
            <w:gridSpan w:val="3"/>
            <w:shd w:val="clear" w:color="auto" w:fill="FFFFFF"/>
          </w:tcPr>
          <w:p w14:paraId="1B701DA5" w14:textId="4E13652F" w:rsidR="00137409" w:rsidRPr="0066079A" w:rsidRDefault="005A1CC1" w:rsidP="00180F9D">
            <w:pPr>
              <w:spacing w:line="240" w:lineRule="auto"/>
              <w:rPr>
                <w:rFonts w:ascii="Times New Roman" w:hAnsi="Times New Roman"/>
                <w:color w:val="000000"/>
                <w:sz w:val="21"/>
                <w:szCs w:val="21"/>
              </w:rPr>
            </w:pPr>
            <w:r>
              <w:rPr>
                <w:rFonts w:ascii="Times New Roman" w:hAnsi="Times New Roman"/>
                <w:color w:val="000000"/>
                <w:sz w:val="21"/>
                <w:szCs w:val="21"/>
              </w:rPr>
              <w:t>0,002</w:t>
            </w:r>
          </w:p>
        </w:tc>
        <w:tc>
          <w:tcPr>
            <w:tcW w:w="937" w:type="dxa"/>
            <w:gridSpan w:val="4"/>
            <w:shd w:val="clear" w:color="auto" w:fill="FFFFFF"/>
          </w:tcPr>
          <w:p w14:paraId="372DFBAA" w14:textId="591D89EC" w:rsidR="00137409" w:rsidRPr="0066079A" w:rsidRDefault="005A1CC1" w:rsidP="00180F9D">
            <w:pPr>
              <w:spacing w:line="240" w:lineRule="auto"/>
              <w:rPr>
                <w:rFonts w:ascii="Times New Roman" w:hAnsi="Times New Roman"/>
                <w:color w:val="000000"/>
                <w:sz w:val="21"/>
                <w:szCs w:val="21"/>
              </w:rPr>
            </w:pPr>
            <w:r>
              <w:rPr>
                <w:rFonts w:ascii="Times New Roman" w:hAnsi="Times New Roman"/>
                <w:color w:val="000000"/>
                <w:sz w:val="21"/>
                <w:szCs w:val="21"/>
              </w:rPr>
              <w:t>0,001</w:t>
            </w:r>
          </w:p>
        </w:tc>
        <w:tc>
          <w:tcPr>
            <w:tcW w:w="938" w:type="dxa"/>
            <w:gridSpan w:val="3"/>
            <w:shd w:val="clear" w:color="auto" w:fill="FFFFFF"/>
          </w:tcPr>
          <w:p w14:paraId="7A1C6F7D" w14:textId="5D41185F" w:rsidR="00137409" w:rsidRPr="0066079A" w:rsidRDefault="009A3060" w:rsidP="00180F9D">
            <w:pPr>
              <w:spacing w:line="240" w:lineRule="auto"/>
              <w:rPr>
                <w:rFonts w:ascii="Times New Roman" w:hAnsi="Times New Roman"/>
                <w:color w:val="000000"/>
                <w:sz w:val="21"/>
                <w:szCs w:val="21"/>
              </w:rPr>
            </w:pPr>
            <w:r>
              <w:rPr>
                <w:rFonts w:ascii="Times New Roman" w:hAnsi="Times New Roman"/>
                <w:color w:val="000000"/>
                <w:sz w:val="21"/>
                <w:szCs w:val="21"/>
              </w:rPr>
              <w:t>0,002</w:t>
            </w:r>
          </w:p>
        </w:tc>
        <w:tc>
          <w:tcPr>
            <w:tcW w:w="938" w:type="dxa"/>
            <w:gridSpan w:val="3"/>
            <w:shd w:val="clear" w:color="auto" w:fill="FFFFFF"/>
          </w:tcPr>
          <w:p w14:paraId="2FEDFA3C" w14:textId="2550D519" w:rsidR="00137409" w:rsidRPr="0066079A" w:rsidRDefault="009A3060" w:rsidP="00180F9D">
            <w:pPr>
              <w:spacing w:line="240" w:lineRule="auto"/>
              <w:rPr>
                <w:rFonts w:ascii="Times New Roman" w:hAnsi="Times New Roman"/>
                <w:color w:val="000000"/>
                <w:sz w:val="21"/>
                <w:szCs w:val="21"/>
              </w:rPr>
            </w:pPr>
            <w:r>
              <w:rPr>
                <w:rFonts w:ascii="Times New Roman" w:hAnsi="Times New Roman"/>
                <w:color w:val="000000"/>
                <w:sz w:val="21"/>
                <w:szCs w:val="21"/>
              </w:rPr>
              <w:t>0,005</w:t>
            </w:r>
          </w:p>
        </w:tc>
        <w:tc>
          <w:tcPr>
            <w:tcW w:w="1430" w:type="dxa"/>
            <w:gridSpan w:val="2"/>
            <w:shd w:val="clear" w:color="auto" w:fill="FFFFFF"/>
          </w:tcPr>
          <w:p w14:paraId="57A591F5" w14:textId="4C561BB7" w:rsidR="00137409" w:rsidRPr="0066079A" w:rsidRDefault="00913057" w:rsidP="00180F9D">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5,333</w:t>
            </w:r>
          </w:p>
        </w:tc>
      </w:tr>
      <w:tr w:rsidR="00137409" w:rsidRPr="0066079A" w14:paraId="7BDD1E78" w14:textId="77777777" w:rsidTr="00A87747">
        <w:trPr>
          <w:gridAfter w:val="1"/>
          <w:wAfter w:w="13" w:type="dxa"/>
          <w:trHeight w:val="142"/>
        </w:trPr>
        <w:tc>
          <w:tcPr>
            <w:tcW w:w="1593" w:type="dxa"/>
            <w:vMerge w:val="restart"/>
            <w:shd w:val="clear" w:color="auto" w:fill="FFFFFF"/>
          </w:tcPr>
          <w:p w14:paraId="15D65F68" w14:textId="77777777"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lastRenderedPageBreak/>
              <w:t>W ujęciu niepieniężnym</w:t>
            </w:r>
          </w:p>
        </w:tc>
        <w:tc>
          <w:tcPr>
            <w:tcW w:w="2288" w:type="dxa"/>
            <w:gridSpan w:val="6"/>
            <w:shd w:val="clear" w:color="auto" w:fill="FFFFFF"/>
          </w:tcPr>
          <w:p w14:paraId="5C16E3B5" w14:textId="77777777"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t>duże przedsiębiorstwa</w:t>
            </w:r>
          </w:p>
        </w:tc>
        <w:tc>
          <w:tcPr>
            <w:tcW w:w="7056" w:type="dxa"/>
            <w:gridSpan w:val="22"/>
            <w:shd w:val="clear" w:color="auto" w:fill="FFFFFF"/>
          </w:tcPr>
          <w:p w14:paraId="752A892B" w14:textId="7F74E903" w:rsidR="00137409" w:rsidRPr="0066079A" w:rsidRDefault="00137409" w:rsidP="00180F9D">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Projektowana regulacja pozostaje bez większego wpływu na przedsiębiorstwa ze względu na stosowane już wcześniej rozwiązania.</w:t>
            </w:r>
          </w:p>
        </w:tc>
      </w:tr>
      <w:tr w:rsidR="00137409" w:rsidRPr="0066079A" w14:paraId="578D7547" w14:textId="77777777" w:rsidTr="00A87747">
        <w:trPr>
          <w:gridAfter w:val="1"/>
          <w:wAfter w:w="13" w:type="dxa"/>
          <w:trHeight w:val="142"/>
        </w:trPr>
        <w:tc>
          <w:tcPr>
            <w:tcW w:w="1593" w:type="dxa"/>
            <w:vMerge/>
            <w:shd w:val="clear" w:color="auto" w:fill="FFFFFF"/>
          </w:tcPr>
          <w:p w14:paraId="6CE6D881" w14:textId="77777777" w:rsidR="00137409" w:rsidRPr="0066079A" w:rsidRDefault="00137409" w:rsidP="00180F9D">
            <w:pPr>
              <w:spacing w:line="240" w:lineRule="auto"/>
              <w:rPr>
                <w:rFonts w:ascii="Times New Roman" w:hAnsi="Times New Roman"/>
                <w:color w:val="000000"/>
                <w:sz w:val="21"/>
                <w:szCs w:val="21"/>
              </w:rPr>
            </w:pPr>
          </w:p>
        </w:tc>
        <w:tc>
          <w:tcPr>
            <w:tcW w:w="2288" w:type="dxa"/>
            <w:gridSpan w:val="6"/>
            <w:shd w:val="clear" w:color="auto" w:fill="FFFFFF"/>
          </w:tcPr>
          <w:p w14:paraId="6F0CB0E4" w14:textId="77777777"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t>sektor mikro-, małych i średnich przedsiębiorstw</w:t>
            </w:r>
          </w:p>
        </w:tc>
        <w:tc>
          <w:tcPr>
            <w:tcW w:w="7056" w:type="dxa"/>
            <w:gridSpan w:val="22"/>
            <w:shd w:val="clear" w:color="auto" w:fill="FFFFFF"/>
          </w:tcPr>
          <w:p w14:paraId="54EB078C" w14:textId="7ACE64D8" w:rsidR="00137409" w:rsidRPr="0066079A" w:rsidRDefault="00137409" w:rsidP="00180F9D">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 xml:space="preserve">Projektowana regulacja </w:t>
            </w:r>
            <w:r w:rsidR="00913057" w:rsidRPr="0066079A">
              <w:rPr>
                <w:rFonts w:ascii="Times New Roman" w:hAnsi="Times New Roman"/>
                <w:sz w:val="21"/>
                <w:szCs w:val="21"/>
              </w:rPr>
              <w:t>będzie miała pozytywny wpływ na</w:t>
            </w:r>
            <w:r w:rsidR="00913057">
              <w:rPr>
                <w:rFonts w:ascii="Times New Roman" w:hAnsi="Times New Roman"/>
                <w:sz w:val="21"/>
                <w:szCs w:val="21"/>
              </w:rPr>
              <w:t xml:space="preserve"> sektor mikro-, małych i średnich przedsiębiorstw</w:t>
            </w:r>
            <w:r>
              <w:rPr>
                <w:rFonts w:ascii="Times New Roman" w:hAnsi="Times New Roman"/>
                <w:color w:val="000000"/>
                <w:spacing w:val="-2"/>
                <w:sz w:val="21"/>
                <w:szCs w:val="21"/>
              </w:rPr>
              <w:t>.</w:t>
            </w:r>
          </w:p>
        </w:tc>
      </w:tr>
      <w:tr w:rsidR="00137409" w:rsidRPr="0066079A" w14:paraId="0912BF1C" w14:textId="77777777" w:rsidTr="00A87747">
        <w:trPr>
          <w:gridAfter w:val="1"/>
          <w:wAfter w:w="13" w:type="dxa"/>
          <w:trHeight w:val="596"/>
        </w:trPr>
        <w:tc>
          <w:tcPr>
            <w:tcW w:w="1593" w:type="dxa"/>
            <w:vMerge/>
            <w:shd w:val="clear" w:color="auto" w:fill="FFFFFF"/>
          </w:tcPr>
          <w:p w14:paraId="68D90273" w14:textId="77777777" w:rsidR="00137409" w:rsidRPr="0066079A" w:rsidRDefault="00137409" w:rsidP="00180F9D">
            <w:pPr>
              <w:spacing w:line="240" w:lineRule="auto"/>
              <w:rPr>
                <w:rFonts w:ascii="Times New Roman" w:hAnsi="Times New Roman"/>
                <w:color w:val="000000"/>
                <w:sz w:val="21"/>
                <w:szCs w:val="21"/>
              </w:rPr>
            </w:pPr>
          </w:p>
        </w:tc>
        <w:tc>
          <w:tcPr>
            <w:tcW w:w="2288" w:type="dxa"/>
            <w:gridSpan w:val="6"/>
            <w:shd w:val="clear" w:color="auto" w:fill="FFFFFF"/>
          </w:tcPr>
          <w:p w14:paraId="683FF7ED" w14:textId="77777777" w:rsidR="00137409" w:rsidRPr="0066079A" w:rsidRDefault="00137409" w:rsidP="00180F9D">
            <w:pPr>
              <w:tabs>
                <w:tab w:val="right" w:pos="1936"/>
              </w:tabs>
              <w:spacing w:line="240" w:lineRule="auto"/>
              <w:rPr>
                <w:rFonts w:ascii="Times New Roman" w:hAnsi="Times New Roman"/>
                <w:color w:val="000000"/>
                <w:sz w:val="21"/>
                <w:szCs w:val="21"/>
              </w:rPr>
            </w:pPr>
            <w:r w:rsidRPr="0066079A">
              <w:rPr>
                <w:rFonts w:ascii="Times New Roman" w:hAnsi="Times New Roman"/>
                <w:sz w:val="21"/>
                <w:szCs w:val="21"/>
              </w:rPr>
              <w:t>rodzina, obywatele oraz gospodarstwa domowe</w:t>
            </w:r>
            <w:r w:rsidRPr="0066079A">
              <w:rPr>
                <w:rFonts w:ascii="Times New Roman" w:hAnsi="Times New Roman"/>
                <w:color w:val="000000"/>
                <w:sz w:val="21"/>
                <w:szCs w:val="21"/>
              </w:rPr>
              <w:t xml:space="preserve"> </w:t>
            </w:r>
          </w:p>
        </w:tc>
        <w:tc>
          <w:tcPr>
            <w:tcW w:w="7056" w:type="dxa"/>
            <w:gridSpan w:val="22"/>
            <w:shd w:val="clear" w:color="auto" w:fill="FFFFFF"/>
          </w:tcPr>
          <w:p w14:paraId="79172C7D" w14:textId="2334DF37" w:rsidR="00137409" w:rsidRPr="0066079A" w:rsidRDefault="00137409" w:rsidP="00180F9D">
            <w:pPr>
              <w:spacing w:line="240" w:lineRule="auto"/>
              <w:rPr>
                <w:rFonts w:ascii="Times New Roman" w:hAnsi="Times New Roman"/>
                <w:color w:val="000000"/>
                <w:spacing w:val="-2"/>
                <w:sz w:val="21"/>
                <w:szCs w:val="21"/>
              </w:rPr>
            </w:pPr>
            <w:r w:rsidRPr="0066079A">
              <w:rPr>
                <w:rFonts w:ascii="Times New Roman" w:hAnsi="Times New Roman"/>
                <w:sz w:val="21"/>
                <w:szCs w:val="21"/>
              </w:rPr>
              <w:t>Projektowana regulacja będzie miała pozytywny wpływ na rodzinę, obywateli oraz gospodarstwa domowe.</w:t>
            </w:r>
          </w:p>
        </w:tc>
      </w:tr>
      <w:tr w:rsidR="00137409" w:rsidRPr="0066079A" w14:paraId="24BCD1FA" w14:textId="77777777" w:rsidTr="00A87747">
        <w:trPr>
          <w:gridAfter w:val="1"/>
          <w:wAfter w:w="13" w:type="dxa"/>
          <w:trHeight w:val="142"/>
        </w:trPr>
        <w:tc>
          <w:tcPr>
            <w:tcW w:w="1593" w:type="dxa"/>
            <w:vMerge w:val="restart"/>
            <w:shd w:val="clear" w:color="auto" w:fill="FFFFFF"/>
          </w:tcPr>
          <w:p w14:paraId="2F3A46DA" w14:textId="77777777"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t>Niemierzalne</w:t>
            </w:r>
          </w:p>
        </w:tc>
        <w:tc>
          <w:tcPr>
            <w:tcW w:w="2288" w:type="dxa"/>
            <w:gridSpan w:val="6"/>
            <w:shd w:val="clear" w:color="auto" w:fill="FFFFFF"/>
          </w:tcPr>
          <w:p w14:paraId="69BCDD14" w14:textId="759D8D6C" w:rsidR="00137409" w:rsidRPr="0066079A" w:rsidRDefault="00137409" w:rsidP="00180F9D">
            <w:pPr>
              <w:spacing w:line="240" w:lineRule="auto"/>
              <w:rPr>
                <w:rFonts w:ascii="Times New Roman" w:hAnsi="Times New Roman"/>
                <w:color w:val="000000"/>
                <w:sz w:val="21"/>
                <w:szCs w:val="21"/>
              </w:rPr>
            </w:pPr>
          </w:p>
        </w:tc>
        <w:tc>
          <w:tcPr>
            <w:tcW w:w="7056" w:type="dxa"/>
            <w:gridSpan w:val="22"/>
            <w:shd w:val="clear" w:color="auto" w:fill="FFFFFF"/>
          </w:tcPr>
          <w:p w14:paraId="0D7A37D6" w14:textId="77777777" w:rsidR="00137409" w:rsidRPr="0066079A" w:rsidRDefault="00137409" w:rsidP="00180F9D">
            <w:pPr>
              <w:spacing w:line="240" w:lineRule="auto"/>
              <w:rPr>
                <w:rFonts w:ascii="Times New Roman" w:hAnsi="Times New Roman"/>
                <w:color w:val="000000"/>
                <w:spacing w:val="-2"/>
                <w:sz w:val="21"/>
                <w:szCs w:val="21"/>
              </w:rPr>
            </w:pPr>
          </w:p>
        </w:tc>
      </w:tr>
      <w:tr w:rsidR="00137409" w:rsidRPr="0066079A" w14:paraId="15B0E69D" w14:textId="77777777" w:rsidTr="00A87747">
        <w:trPr>
          <w:gridAfter w:val="1"/>
          <w:wAfter w:w="13" w:type="dxa"/>
          <w:trHeight w:val="142"/>
        </w:trPr>
        <w:tc>
          <w:tcPr>
            <w:tcW w:w="1593" w:type="dxa"/>
            <w:vMerge/>
            <w:shd w:val="clear" w:color="auto" w:fill="FFFFFF"/>
          </w:tcPr>
          <w:p w14:paraId="7AD0375D" w14:textId="77777777" w:rsidR="00137409" w:rsidRPr="0066079A" w:rsidRDefault="00137409" w:rsidP="00180F9D">
            <w:pPr>
              <w:spacing w:line="240" w:lineRule="auto"/>
              <w:rPr>
                <w:rFonts w:ascii="Times New Roman" w:hAnsi="Times New Roman"/>
                <w:color w:val="000000"/>
                <w:sz w:val="21"/>
                <w:szCs w:val="21"/>
              </w:rPr>
            </w:pPr>
          </w:p>
        </w:tc>
        <w:tc>
          <w:tcPr>
            <w:tcW w:w="2288" w:type="dxa"/>
            <w:gridSpan w:val="6"/>
            <w:shd w:val="clear" w:color="auto" w:fill="FFFFFF"/>
          </w:tcPr>
          <w:p w14:paraId="20E8D8EF" w14:textId="384752EF" w:rsidR="00137409" w:rsidRPr="0066079A" w:rsidRDefault="00137409" w:rsidP="00180F9D">
            <w:pPr>
              <w:spacing w:line="240" w:lineRule="auto"/>
              <w:rPr>
                <w:rFonts w:ascii="Times New Roman" w:hAnsi="Times New Roman"/>
                <w:color w:val="000000"/>
                <w:sz w:val="21"/>
                <w:szCs w:val="21"/>
              </w:rPr>
            </w:pPr>
          </w:p>
        </w:tc>
        <w:tc>
          <w:tcPr>
            <w:tcW w:w="7056" w:type="dxa"/>
            <w:gridSpan w:val="22"/>
            <w:shd w:val="clear" w:color="auto" w:fill="FFFFFF"/>
          </w:tcPr>
          <w:p w14:paraId="1FD6FCE7" w14:textId="77777777" w:rsidR="00137409" w:rsidRPr="0066079A" w:rsidRDefault="00137409" w:rsidP="00180F9D">
            <w:pPr>
              <w:spacing w:line="240" w:lineRule="auto"/>
              <w:rPr>
                <w:rFonts w:ascii="Times New Roman" w:hAnsi="Times New Roman"/>
                <w:color w:val="000000"/>
                <w:spacing w:val="-2"/>
                <w:sz w:val="21"/>
                <w:szCs w:val="21"/>
              </w:rPr>
            </w:pPr>
          </w:p>
        </w:tc>
      </w:tr>
      <w:tr w:rsidR="00137409" w:rsidRPr="0066079A" w14:paraId="0151D3FA" w14:textId="77777777" w:rsidTr="00A87747">
        <w:trPr>
          <w:gridAfter w:val="1"/>
          <w:wAfter w:w="13" w:type="dxa"/>
          <w:trHeight w:val="1643"/>
        </w:trPr>
        <w:tc>
          <w:tcPr>
            <w:tcW w:w="2238" w:type="dxa"/>
            <w:gridSpan w:val="2"/>
            <w:shd w:val="clear" w:color="auto" w:fill="FFFFFF"/>
          </w:tcPr>
          <w:p w14:paraId="3E8BCD75" w14:textId="77777777"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t xml:space="preserve">Dodatkowe informacje, w tym wskazanie źródeł danych i przyjętych do obliczeń założeń </w:t>
            </w:r>
          </w:p>
        </w:tc>
        <w:tc>
          <w:tcPr>
            <w:tcW w:w="8699" w:type="dxa"/>
            <w:gridSpan w:val="27"/>
            <w:shd w:val="clear" w:color="auto" w:fill="FFFFFF"/>
            <w:vAlign w:val="center"/>
          </w:tcPr>
          <w:p w14:paraId="2481E4A0" w14:textId="520D73A9" w:rsidR="00137409" w:rsidRPr="00136490" w:rsidRDefault="00137409" w:rsidP="00180F9D">
            <w:pPr>
              <w:widowControl w:val="0"/>
              <w:spacing w:before="120" w:after="120" w:line="240" w:lineRule="auto"/>
              <w:jc w:val="both"/>
              <w:rPr>
                <w:rFonts w:ascii="Times New Roman" w:hAnsi="Times New Roman"/>
                <w:color w:val="000000"/>
                <w:sz w:val="21"/>
                <w:szCs w:val="21"/>
              </w:rPr>
            </w:pPr>
            <w:r w:rsidRPr="00136490">
              <w:rPr>
                <w:rFonts w:ascii="Times New Roman" w:hAnsi="Times New Roman"/>
                <w:color w:val="000000"/>
                <w:sz w:val="21"/>
                <w:szCs w:val="21"/>
              </w:rPr>
              <w:t>Wprowadzenie proponowanych przepisów pozwoli na zmniejszenie obciążeń finansowych związanych z opłatami za ciepło</w:t>
            </w:r>
            <w:r>
              <w:rPr>
                <w:rFonts w:ascii="Times New Roman" w:hAnsi="Times New Roman"/>
                <w:color w:val="000000"/>
                <w:sz w:val="21"/>
                <w:szCs w:val="21"/>
              </w:rPr>
              <w:t>,</w:t>
            </w:r>
            <w:r w:rsidRPr="00136490">
              <w:rPr>
                <w:rFonts w:ascii="Times New Roman" w:hAnsi="Times New Roman"/>
                <w:color w:val="000000"/>
                <w:sz w:val="21"/>
                <w:szCs w:val="21"/>
              </w:rPr>
              <w:t xml:space="preserve"> ponoszonymi przez gospodarstwa domowe lub instytucje użyteczności publicznej. Tym samym rozwiązanie to zapewni bezpieczeństwo energetyczne dostaw ciepła, bowiem zmniejsza ryzyko wystąpienia zjawiska zatorów płatniczych w przypadku nadmiernego obciążenia odbiorców rachunkami za dostarczone ciepło. Należy brać również pod uwagę, że przedmiotowe rozwiązanie dawać będzie impuls antyinflacyjny, wpływając na ograniczenie jej wzrostu, lub jej obniżenie.</w:t>
            </w:r>
          </w:p>
          <w:p w14:paraId="262C8F51" w14:textId="77777777" w:rsidR="00137409" w:rsidRPr="00136490" w:rsidRDefault="00137409" w:rsidP="00180F9D">
            <w:pPr>
              <w:spacing w:after="120" w:line="240" w:lineRule="auto"/>
              <w:jc w:val="both"/>
              <w:rPr>
                <w:rFonts w:ascii="Times New Roman" w:hAnsi="Times New Roman"/>
                <w:color w:val="000000"/>
                <w:sz w:val="21"/>
                <w:szCs w:val="21"/>
              </w:rPr>
            </w:pPr>
            <w:r w:rsidRPr="00136490">
              <w:rPr>
                <w:rFonts w:ascii="Times New Roman" w:hAnsi="Times New Roman"/>
                <w:color w:val="000000"/>
                <w:sz w:val="21"/>
                <w:szCs w:val="21"/>
              </w:rPr>
              <w:t>Przedsiębiorstwa energetyczne wykonujące działalność gospodarczą w zakresie wytwarzania ciepła, które jest dostarczane do gospodarstw domowych oraz podmiotów użyteczności publicznej nie poniosą większych niż dotychczas kosztów związanych ze składaniem wniosków o wypłatę i rozliczenie wyrównania oraz realizujących obowiązek informacyjny względem odbiorców.</w:t>
            </w:r>
          </w:p>
          <w:p w14:paraId="1682CAF4" w14:textId="77777777" w:rsidR="00137409" w:rsidRPr="00136490" w:rsidRDefault="00137409" w:rsidP="00180F9D">
            <w:pPr>
              <w:spacing w:after="120" w:line="240" w:lineRule="auto"/>
              <w:jc w:val="both"/>
              <w:rPr>
                <w:rFonts w:ascii="Times New Roman" w:hAnsi="Times New Roman"/>
                <w:color w:val="000000"/>
                <w:sz w:val="21"/>
                <w:szCs w:val="21"/>
              </w:rPr>
            </w:pPr>
            <w:r w:rsidRPr="00136490">
              <w:rPr>
                <w:rFonts w:ascii="Times New Roman" w:hAnsi="Times New Roman"/>
                <w:color w:val="000000"/>
                <w:sz w:val="21"/>
                <w:szCs w:val="21"/>
              </w:rPr>
              <w:t>Odnośnie wspólnot mieszkaniowych i spółdzielni mieszkaniowych zakres przewidzianych prawem obowiązków ulegnie zmniejszeniu: projekt ustawy zakłada informowanie beneficjentów w sposób zwyczajowo przyjęty w danej wspólnocie lub spółdzielni, zamiast natychmiastowego przekazywania zawiadomień do poszczególnych lokali.</w:t>
            </w:r>
          </w:p>
          <w:p w14:paraId="20F8BC05" w14:textId="14B0A8A1" w:rsidR="00137409" w:rsidRPr="0066079A" w:rsidRDefault="00137409" w:rsidP="00180F9D">
            <w:pPr>
              <w:spacing w:after="120" w:line="240" w:lineRule="auto"/>
              <w:jc w:val="both"/>
              <w:rPr>
                <w:rFonts w:ascii="Times New Roman" w:hAnsi="Times New Roman"/>
                <w:color w:val="000000"/>
                <w:sz w:val="21"/>
                <w:szCs w:val="21"/>
              </w:rPr>
            </w:pPr>
            <w:r w:rsidRPr="003B62DC">
              <w:rPr>
                <w:rFonts w:ascii="Times New Roman" w:hAnsi="Times New Roman"/>
                <w:color w:val="000000"/>
                <w:sz w:val="21"/>
                <w:szCs w:val="21"/>
              </w:rPr>
              <w:t>Projekt nie prezentuje wpływu na innowacje.</w:t>
            </w:r>
          </w:p>
        </w:tc>
      </w:tr>
      <w:tr w:rsidR="00137409" w:rsidRPr="0066079A" w14:paraId="4D1D4796" w14:textId="77777777" w:rsidTr="00A87747">
        <w:trPr>
          <w:gridAfter w:val="1"/>
          <w:wAfter w:w="13" w:type="dxa"/>
          <w:trHeight w:val="342"/>
        </w:trPr>
        <w:tc>
          <w:tcPr>
            <w:tcW w:w="10937" w:type="dxa"/>
            <w:gridSpan w:val="29"/>
            <w:shd w:val="clear" w:color="auto" w:fill="99CCFF"/>
            <w:vAlign w:val="center"/>
          </w:tcPr>
          <w:p w14:paraId="3B3DCE3A" w14:textId="77777777" w:rsidR="00137409" w:rsidRPr="0066079A" w:rsidRDefault="00137409" w:rsidP="00180F9D">
            <w:pPr>
              <w:numPr>
                <w:ilvl w:val="0"/>
                <w:numId w:val="3"/>
              </w:numPr>
              <w:spacing w:before="60" w:after="60" w:line="240" w:lineRule="auto"/>
              <w:ind w:left="318" w:hanging="284"/>
              <w:jc w:val="both"/>
              <w:rPr>
                <w:rFonts w:ascii="Times New Roman" w:hAnsi="Times New Roman"/>
                <w:b/>
                <w:color w:val="000000"/>
                <w:sz w:val="21"/>
                <w:szCs w:val="21"/>
              </w:rPr>
            </w:pPr>
            <w:r w:rsidRPr="0066079A">
              <w:rPr>
                <w:rFonts w:ascii="Times New Roman" w:hAnsi="Times New Roman"/>
                <w:b/>
                <w:color w:val="000000"/>
                <w:sz w:val="21"/>
                <w:szCs w:val="21"/>
              </w:rPr>
              <w:t xml:space="preserve"> Zmiana obciążeń regulacyjnych (w tym obowiązków informacyjnych) wynikających z projektu</w:t>
            </w:r>
          </w:p>
        </w:tc>
      </w:tr>
      <w:tr w:rsidR="00137409" w:rsidRPr="0066079A" w14:paraId="5608A5FC" w14:textId="77777777" w:rsidTr="00A87747">
        <w:trPr>
          <w:gridAfter w:val="1"/>
          <w:wAfter w:w="13" w:type="dxa"/>
          <w:trHeight w:val="151"/>
        </w:trPr>
        <w:tc>
          <w:tcPr>
            <w:tcW w:w="10937" w:type="dxa"/>
            <w:gridSpan w:val="29"/>
            <w:shd w:val="clear" w:color="auto" w:fill="FFFFFF"/>
          </w:tcPr>
          <w:p w14:paraId="7750137D" w14:textId="77777777"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fldChar w:fldCharType="begin">
                <w:ffData>
                  <w:name w:val="Wybór1"/>
                  <w:enabled/>
                  <w:calcOnExit w:val="0"/>
                  <w:checkBox>
                    <w:sizeAuto/>
                    <w:default w:val="0"/>
                  </w:checkBox>
                </w:ffData>
              </w:fldChar>
            </w:r>
            <w:r w:rsidRPr="0066079A">
              <w:rPr>
                <w:rFonts w:ascii="Times New Roman" w:hAnsi="Times New Roman"/>
                <w:color w:val="000000"/>
                <w:sz w:val="21"/>
                <w:szCs w:val="21"/>
              </w:rPr>
              <w:instrText xml:space="preserve"> FORMCHECKBOX </w:instrText>
            </w:r>
            <w:r w:rsidR="00000000">
              <w:rPr>
                <w:rFonts w:ascii="Times New Roman" w:hAnsi="Times New Roman"/>
                <w:color w:val="000000"/>
                <w:sz w:val="21"/>
                <w:szCs w:val="21"/>
              </w:rPr>
            </w:r>
            <w:r w:rsidR="00000000">
              <w:rPr>
                <w:rFonts w:ascii="Times New Roman" w:hAnsi="Times New Roman"/>
                <w:color w:val="000000"/>
                <w:sz w:val="21"/>
                <w:szCs w:val="21"/>
              </w:rPr>
              <w:fldChar w:fldCharType="separate"/>
            </w:r>
            <w:r w:rsidRPr="0066079A">
              <w:rPr>
                <w:rFonts w:ascii="Times New Roman" w:hAnsi="Times New Roman"/>
                <w:color w:val="000000"/>
                <w:sz w:val="21"/>
                <w:szCs w:val="21"/>
              </w:rPr>
              <w:fldChar w:fldCharType="end"/>
            </w:r>
            <w:r w:rsidRPr="0066079A">
              <w:rPr>
                <w:rFonts w:ascii="Times New Roman" w:hAnsi="Times New Roman"/>
                <w:color w:val="000000"/>
                <w:sz w:val="21"/>
                <w:szCs w:val="21"/>
              </w:rPr>
              <w:t xml:space="preserve"> </w:t>
            </w:r>
            <w:r w:rsidRPr="0066079A">
              <w:rPr>
                <w:rFonts w:ascii="Times New Roman" w:hAnsi="Times New Roman"/>
                <w:color w:val="000000"/>
                <w:spacing w:val="-2"/>
                <w:sz w:val="21"/>
                <w:szCs w:val="21"/>
              </w:rPr>
              <w:t>nie dotyczy</w:t>
            </w:r>
          </w:p>
        </w:tc>
      </w:tr>
      <w:tr w:rsidR="00137409" w:rsidRPr="0066079A" w14:paraId="78758F24" w14:textId="77777777" w:rsidTr="00A87747">
        <w:trPr>
          <w:gridAfter w:val="1"/>
          <w:wAfter w:w="13" w:type="dxa"/>
          <w:trHeight w:val="946"/>
        </w:trPr>
        <w:tc>
          <w:tcPr>
            <w:tcW w:w="5103" w:type="dxa"/>
            <w:gridSpan w:val="12"/>
            <w:shd w:val="clear" w:color="auto" w:fill="FFFFFF"/>
          </w:tcPr>
          <w:p w14:paraId="24D48CE4" w14:textId="77777777" w:rsidR="00137409" w:rsidRPr="0066079A" w:rsidRDefault="00137409" w:rsidP="00180F9D">
            <w:pPr>
              <w:spacing w:line="240" w:lineRule="auto"/>
              <w:rPr>
                <w:rFonts w:ascii="Times New Roman" w:hAnsi="Times New Roman"/>
                <w:color w:val="000000"/>
                <w:spacing w:val="-2"/>
                <w:sz w:val="21"/>
                <w:szCs w:val="21"/>
              </w:rPr>
            </w:pPr>
            <w:r w:rsidRPr="0066079A">
              <w:rPr>
                <w:rFonts w:ascii="Times New Roman" w:hAnsi="Times New Roman"/>
                <w:color w:val="000000"/>
                <w:spacing w:val="-2"/>
                <w:sz w:val="21"/>
                <w:szCs w:val="21"/>
              </w:rPr>
              <w:t xml:space="preserve">Wprowadzane są obciążenia poza bezwzględnie wymaganymi przez UE </w:t>
            </w:r>
            <w:r w:rsidRPr="0066079A">
              <w:rPr>
                <w:rFonts w:ascii="Times New Roman" w:hAnsi="Times New Roman"/>
                <w:color w:val="000000"/>
                <w:sz w:val="21"/>
                <w:szCs w:val="21"/>
              </w:rPr>
              <w:t>(szczegóły w odwróconej tabeli zgodności).</w:t>
            </w:r>
          </w:p>
        </w:tc>
        <w:tc>
          <w:tcPr>
            <w:tcW w:w="5834" w:type="dxa"/>
            <w:gridSpan w:val="17"/>
            <w:shd w:val="clear" w:color="auto" w:fill="FFFFFF"/>
          </w:tcPr>
          <w:p w14:paraId="092DC03A" w14:textId="77777777"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fldChar w:fldCharType="begin">
                <w:ffData>
                  <w:name w:val="Wybór1"/>
                  <w:enabled/>
                  <w:calcOnExit w:val="0"/>
                  <w:checkBox>
                    <w:sizeAuto/>
                    <w:default w:val="0"/>
                  </w:checkBox>
                </w:ffData>
              </w:fldChar>
            </w:r>
            <w:r w:rsidRPr="0066079A">
              <w:rPr>
                <w:rFonts w:ascii="Times New Roman" w:hAnsi="Times New Roman"/>
                <w:color w:val="000000"/>
                <w:sz w:val="21"/>
                <w:szCs w:val="21"/>
              </w:rPr>
              <w:instrText xml:space="preserve"> FORMCHECKBOX </w:instrText>
            </w:r>
            <w:r w:rsidR="00000000">
              <w:rPr>
                <w:rFonts w:ascii="Times New Roman" w:hAnsi="Times New Roman"/>
                <w:color w:val="000000"/>
                <w:sz w:val="21"/>
                <w:szCs w:val="21"/>
              </w:rPr>
            </w:r>
            <w:r w:rsidR="00000000">
              <w:rPr>
                <w:rFonts w:ascii="Times New Roman" w:hAnsi="Times New Roman"/>
                <w:color w:val="000000"/>
                <w:sz w:val="21"/>
                <w:szCs w:val="21"/>
              </w:rPr>
              <w:fldChar w:fldCharType="separate"/>
            </w:r>
            <w:r w:rsidRPr="0066079A">
              <w:rPr>
                <w:rFonts w:ascii="Times New Roman" w:hAnsi="Times New Roman"/>
                <w:color w:val="000000"/>
                <w:sz w:val="21"/>
                <w:szCs w:val="21"/>
              </w:rPr>
              <w:fldChar w:fldCharType="end"/>
            </w:r>
            <w:r w:rsidRPr="0066079A">
              <w:rPr>
                <w:rFonts w:ascii="Times New Roman" w:hAnsi="Times New Roman"/>
                <w:color w:val="000000"/>
                <w:sz w:val="21"/>
                <w:szCs w:val="21"/>
              </w:rPr>
              <w:t xml:space="preserve"> tak</w:t>
            </w:r>
          </w:p>
          <w:p w14:paraId="3B3429CB" w14:textId="77777777"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fldChar w:fldCharType="begin">
                <w:ffData>
                  <w:name w:val="Wybór1"/>
                  <w:enabled/>
                  <w:calcOnExit w:val="0"/>
                  <w:checkBox>
                    <w:sizeAuto/>
                    <w:default w:val="0"/>
                  </w:checkBox>
                </w:ffData>
              </w:fldChar>
            </w:r>
            <w:r w:rsidRPr="0066079A">
              <w:rPr>
                <w:rFonts w:ascii="Times New Roman" w:hAnsi="Times New Roman"/>
                <w:color w:val="000000"/>
                <w:sz w:val="21"/>
                <w:szCs w:val="21"/>
              </w:rPr>
              <w:instrText xml:space="preserve"> FORMCHECKBOX </w:instrText>
            </w:r>
            <w:r w:rsidR="00000000">
              <w:rPr>
                <w:rFonts w:ascii="Times New Roman" w:hAnsi="Times New Roman"/>
                <w:color w:val="000000"/>
                <w:sz w:val="21"/>
                <w:szCs w:val="21"/>
              </w:rPr>
            </w:r>
            <w:r w:rsidR="00000000">
              <w:rPr>
                <w:rFonts w:ascii="Times New Roman" w:hAnsi="Times New Roman"/>
                <w:color w:val="000000"/>
                <w:sz w:val="21"/>
                <w:szCs w:val="21"/>
              </w:rPr>
              <w:fldChar w:fldCharType="separate"/>
            </w:r>
            <w:r w:rsidRPr="0066079A">
              <w:rPr>
                <w:rFonts w:ascii="Times New Roman" w:hAnsi="Times New Roman"/>
                <w:color w:val="000000"/>
                <w:sz w:val="21"/>
                <w:szCs w:val="21"/>
              </w:rPr>
              <w:fldChar w:fldCharType="end"/>
            </w:r>
            <w:r w:rsidRPr="0066079A">
              <w:rPr>
                <w:rFonts w:ascii="Times New Roman" w:hAnsi="Times New Roman"/>
                <w:color w:val="000000"/>
                <w:sz w:val="21"/>
                <w:szCs w:val="21"/>
              </w:rPr>
              <w:t xml:space="preserve"> nie</w:t>
            </w:r>
          </w:p>
          <w:p w14:paraId="5B34177A" w14:textId="77777777"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fldChar w:fldCharType="begin">
                <w:ffData>
                  <w:name w:val=""/>
                  <w:enabled/>
                  <w:calcOnExit w:val="0"/>
                  <w:checkBox>
                    <w:sizeAuto/>
                    <w:default w:val="1"/>
                  </w:checkBox>
                </w:ffData>
              </w:fldChar>
            </w:r>
            <w:r w:rsidRPr="0066079A">
              <w:rPr>
                <w:rFonts w:ascii="Times New Roman" w:hAnsi="Times New Roman"/>
                <w:color w:val="000000"/>
                <w:sz w:val="21"/>
                <w:szCs w:val="21"/>
              </w:rPr>
              <w:instrText xml:space="preserve"> FORMCHECKBOX </w:instrText>
            </w:r>
            <w:r w:rsidR="00000000">
              <w:rPr>
                <w:rFonts w:ascii="Times New Roman" w:hAnsi="Times New Roman"/>
                <w:color w:val="000000"/>
                <w:sz w:val="21"/>
                <w:szCs w:val="21"/>
              </w:rPr>
            </w:r>
            <w:r w:rsidR="00000000">
              <w:rPr>
                <w:rFonts w:ascii="Times New Roman" w:hAnsi="Times New Roman"/>
                <w:color w:val="000000"/>
                <w:sz w:val="21"/>
                <w:szCs w:val="21"/>
              </w:rPr>
              <w:fldChar w:fldCharType="separate"/>
            </w:r>
            <w:r w:rsidRPr="0066079A">
              <w:rPr>
                <w:rFonts w:ascii="Times New Roman" w:hAnsi="Times New Roman"/>
                <w:color w:val="000000"/>
                <w:sz w:val="21"/>
                <w:szCs w:val="21"/>
              </w:rPr>
              <w:fldChar w:fldCharType="end"/>
            </w:r>
            <w:r w:rsidRPr="0066079A">
              <w:rPr>
                <w:rFonts w:ascii="Times New Roman" w:hAnsi="Times New Roman"/>
                <w:color w:val="000000"/>
                <w:sz w:val="21"/>
                <w:szCs w:val="21"/>
              </w:rPr>
              <w:t xml:space="preserve"> nie dotyczy</w:t>
            </w:r>
          </w:p>
        </w:tc>
      </w:tr>
      <w:tr w:rsidR="00137409" w:rsidRPr="0066079A" w14:paraId="5AD6C8B9" w14:textId="77777777" w:rsidTr="00A87747">
        <w:trPr>
          <w:gridAfter w:val="1"/>
          <w:wAfter w:w="13" w:type="dxa"/>
          <w:trHeight w:val="1245"/>
        </w:trPr>
        <w:tc>
          <w:tcPr>
            <w:tcW w:w="5103" w:type="dxa"/>
            <w:gridSpan w:val="12"/>
            <w:shd w:val="clear" w:color="auto" w:fill="FFFFFF"/>
          </w:tcPr>
          <w:p w14:paraId="51014087" w14:textId="77777777" w:rsidR="00137409" w:rsidRPr="0066079A" w:rsidRDefault="00137409" w:rsidP="00180F9D">
            <w:pPr>
              <w:spacing w:line="240" w:lineRule="auto"/>
              <w:rPr>
                <w:rFonts w:ascii="Times New Roman" w:hAnsi="Times New Roman"/>
                <w:color w:val="000000"/>
                <w:spacing w:val="-2"/>
                <w:sz w:val="21"/>
                <w:szCs w:val="21"/>
              </w:rPr>
            </w:pPr>
            <w:r w:rsidRPr="0066079A">
              <w:rPr>
                <w:rFonts w:ascii="Times New Roman" w:hAnsi="Times New Roman"/>
                <w:color w:val="000000"/>
                <w:sz w:val="21"/>
                <w:szCs w:val="21"/>
              </w:rPr>
              <w:fldChar w:fldCharType="begin">
                <w:ffData>
                  <w:name w:val="Wybór1"/>
                  <w:enabled/>
                  <w:calcOnExit w:val="0"/>
                  <w:checkBox>
                    <w:sizeAuto/>
                    <w:default w:val="0"/>
                  </w:checkBox>
                </w:ffData>
              </w:fldChar>
            </w:r>
            <w:r w:rsidRPr="0066079A">
              <w:rPr>
                <w:rFonts w:ascii="Times New Roman" w:hAnsi="Times New Roman"/>
                <w:color w:val="000000"/>
                <w:sz w:val="21"/>
                <w:szCs w:val="21"/>
              </w:rPr>
              <w:instrText xml:space="preserve"> FORMCHECKBOX </w:instrText>
            </w:r>
            <w:r w:rsidR="00000000">
              <w:rPr>
                <w:rFonts w:ascii="Times New Roman" w:hAnsi="Times New Roman"/>
                <w:color w:val="000000"/>
                <w:sz w:val="21"/>
                <w:szCs w:val="21"/>
              </w:rPr>
            </w:r>
            <w:r w:rsidR="00000000">
              <w:rPr>
                <w:rFonts w:ascii="Times New Roman" w:hAnsi="Times New Roman"/>
                <w:color w:val="000000"/>
                <w:sz w:val="21"/>
                <w:szCs w:val="21"/>
              </w:rPr>
              <w:fldChar w:fldCharType="separate"/>
            </w:r>
            <w:r w:rsidRPr="0066079A">
              <w:rPr>
                <w:rFonts w:ascii="Times New Roman" w:hAnsi="Times New Roman"/>
                <w:color w:val="000000"/>
                <w:sz w:val="21"/>
                <w:szCs w:val="21"/>
              </w:rPr>
              <w:fldChar w:fldCharType="end"/>
            </w:r>
            <w:r w:rsidRPr="0066079A">
              <w:rPr>
                <w:rFonts w:ascii="Times New Roman" w:hAnsi="Times New Roman"/>
                <w:color w:val="000000"/>
                <w:sz w:val="21"/>
                <w:szCs w:val="21"/>
              </w:rPr>
              <w:t xml:space="preserve"> </w:t>
            </w:r>
            <w:r w:rsidRPr="0066079A">
              <w:rPr>
                <w:rFonts w:ascii="Times New Roman" w:hAnsi="Times New Roman"/>
                <w:color w:val="000000"/>
                <w:spacing w:val="-2"/>
                <w:sz w:val="21"/>
                <w:szCs w:val="21"/>
              </w:rPr>
              <w:t xml:space="preserve">zmniejszenie liczby dokumentów </w:t>
            </w:r>
          </w:p>
          <w:p w14:paraId="38155CFA" w14:textId="09E73804" w:rsidR="00137409" w:rsidRPr="0066079A" w:rsidRDefault="00137409" w:rsidP="00180F9D">
            <w:pPr>
              <w:spacing w:line="240" w:lineRule="auto"/>
              <w:rPr>
                <w:rFonts w:ascii="Times New Roman" w:hAnsi="Times New Roman"/>
                <w:color w:val="000000"/>
                <w:spacing w:val="-2"/>
                <w:sz w:val="21"/>
                <w:szCs w:val="21"/>
              </w:rPr>
            </w:pPr>
            <w:r w:rsidRPr="0066079A">
              <w:rPr>
                <w:rFonts w:ascii="Times New Roman" w:hAnsi="Times New Roman"/>
                <w:color w:val="000000"/>
                <w:sz w:val="21"/>
                <w:szCs w:val="21"/>
              </w:rPr>
              <w:fldChar w:fldCharType="begin">
                <w:ffData>
                  <w:name w:val=""/>
                  <w:enabled/>
                  <w:calcOnExit w:val="0"/>
                  <w:checkBox>
                    <w:sizeAuto/>
                    <w:default w:val="0"/>
                  </w:checkBox>
                </w:ffData>
              </w:fldChar>
            </w:r>
            <w:r w:rsidRPr="0066079A">
              <w:rPr>
                <w:rFonts w:ascii="Times New Roman" w:hAnsi="Times New Roman"/>
                <w:color w:val="000000"/>
                <w:sz w:val="21"/>
                <w:szCs w:val="21"/>
              </w:rPr>
              <w:instrText xml:space="preserve"> FORMCHECKBOX </w:instrText>
            </w:r>
            <w:r w:rsidR="00000000">
              <w:rPr>
                <w:rFonts w:ascii="Times New Roman" w:hAnsi="Times New Roman"/>
                <w:color w:val="000000"/>
                <w:sz w:val="21"/>
                <w:szCs w:val="21"/>
              </w:rPr>
            </w:r>
            <w:r w:rsidR="00000000">
              <w:rPr>
                <w:rFonts w:ascii="Times New Roman" w:hAnsi="Times New Roman"/>
                <w:color w:val="000000"/>
                <w:sz w:val="21"/>
                <w:szCs w:val="21"/>
              </w:rPr>
              <w:fldChar w:fldCharType="separate"/>
            </w:r>
            <w:r w:rsidRPr="0066079A">
              <w:rPr>
                <w:rFonts w:ascii="Times New Roman" w:hAnsi="Times New Roman"/>
                <w:color w:val="000000"/>
                <w:sz w:val="21"/>
                <w:szCs w:val="21"/>
              </w:rPr>
              <w:fldChar w:fldCharType="end"/>
            </w:r>
            <w:r w:rsidRPr="0066079A">
              <w:rPr>
                <w:rFonts w:ascii="Times New Roman" w:hAnsi="Times New Roman"/>
                <w:color w:val="000000"/>
                <w:sz w:val="21"/>
                <w:szCs w:val="21"/>
              </w:rPr>
              <w:t xml:space="preserve"> </w:t>
            </w:r>
            <w:r w:rsidRPr="0066079A">
              <w:rPr>
                <w:rFonts w:ascii="Times New Roman" w:hAnsi="Times New Roman"/>
                <w:color w:val="000000"/>
                <w:spacing w:val="-2"/>
                <w:sz w:val="21"/>
                <w:szCs w:val="21"/>
              </w:rPr>
              <w:t>zmniejszenie liczby procedur</w:t>
            </w:r>
          </w:p>
          <w:p w14:paraId="269CA5CF" w14:textId="31E226E3" w:rsidR="00137409" w:rsidRPr="0066079A" w:rsidRDefault="00137409" w:rsidP="00180F9D">
            <w:pPr>
              <w:spacing w:line="240" w:lineRule="auto"/>
              <w:rPr>
                <w:rFonts w:ascii="Times New Roman" w:hAnsi="Times New Roman"/>
                <w:color w:val="000000"/>
                <w:spacing w:val="-2"/>
                <w:sz w:val="21"/>
                <w:szCs w:val="21"/>
              </w:rPr>
            </w:pPr>
            <w:r w:rsidRPr="0066079A">
              <w:rPr>
                <w:rFonts w:ascii="Times New Roman" w:hAnsi="Times New Roman"/>
                <w:color w:val="000000"/>
                <w:sz w:val="21"/>
                <w:szCs w:val="21"/>
              </w:rPr>
              <w:fldChar w:fldCharType="begin">
                <w:ffData>
                  <w:name w:val=""/>
                  <w:enabled/>
                  <w:calcOnExit w:val="0"/>
                  <w:checkBox>
                    <w:sizeAuto/>
                    <w:default w:val="1"/>
                  </w:checkBox>
                </w:ffData>
              </w:fldChar>
            </w:r>
            <w:r w:rsidRPr="0066079A">
              <w:rPr>
                <w:rFonts w:ascii="Times New Roman" w:hAnsi="Times New Roman"/>
                <w:color w:val="000000"/>
                <w:sz w:val="21"/>
                <w:szCs w:val="21"/>
              </w:rPr>
              <w:instrText xml:space="preserve"> FORMCHECKBOX </w:instrText>
            </w:r>
            <w:r w:rsidR="00000000">
              <w:rPr>
                <w:rFonts w:ascii="Times New Roman" w:hAnsi="Times New Roman"/>
                <w:color w:val="000000"/>
                <w:sz w:val="21"/>
                <w:szCs w:val="21"/>
              </w:rPr>
            </w:r>
            <w:r w:rsidR="00000000">
              <w:rPr>
                <w:rFonts w:ascii="Times New Roman" w:hAnsi="Times New Roman"/>
                <w:color w:val="000000"/>
                <w:sz w:val="21"/>
                <w:szCs w:val="21"/>
              </w:rPr>
              <w:fldChar w:fldCharType="separate"/>
            </w:r>
            <w:r w:rsidRPr="0066079A">
              <w:rPr>
                <w:rFonts w:ascii="Times New Roman" w:hAnsi="Times New Roman"/>
                <w:color w:val="000000"/>
                <w:sz w:val="21"/>
                <w:szCs w:val="21"/>
              </w:rPr>
              <w:fldChar w:fldCharType="end"/>
            </w:r>
            <w:r w:rsidRPr="0066079A">
              <w:rPr>
                <w:rFonts w:ascii="Times New Roman" w:hAnsi="Times New Roman"/>
                <w:color w:val="000000"/>
                <w:sz w:val="21"/>
                <w:szCs w:val="21"/>
              </w:rPr>
              <w:t xml:space="preserve"> </w:t>
            </w:r>
            <w:r w:rsidRPr="0066079A">
              <w:rPr>
                <w:rFonts w:ascii="Times New Roman" w:hAnsi="Times New Roman"/>
                <w:color w:val="000000"/>
                <w:spacing w:val="-2"/>
                <w:sz w:val="21"/>
                <w:szCs w:val="21"/>
              </w:rPr>
              <w:t>skrócenie czasu na załatwienie sprawy</w:t>
            </w:r>
          </w:p>
          <w:p w14:paraId="6291B882" w14:textId="77777777" w:rsidR="00137409" w:rsidRPr="0066079A" w:rsidRDefault="00137409" w:rsidP="00180F9D">
            <w:pPr>
              <w:spacing w:line="240" w:lineRule="auto"/>
              <w:rPr>
                <w:rFonts w:ascii="Times New Roman" w:hAnsi="Times New Roman"/>
                <w:b/>
                <w:color w:val="000000"/>
                <w:spacing w:val="-2"/>
                <w:sz w:val="21"/>
                <w:szCs w:val="21"/>
              </w:rPr>
            </w:pPr>
            <w:r w:rsidRPr="0066079A">
              <w:rPr>
                <w:rFonts w:ascii="Times New Roman" w:hAnsi="Times New Roman"/>
                <w:color w:val="000000"/>
                <w:sz w:val="21"/>
                <w:szCs w:val="21"/>
              </w:rPr>
              <w:fldChar w:fldCharType="begin">
                <w:ffData>
                  <w:name w:val="Wybór1"/>
                  <w:enabled/>
                  <w:calcOnExit w:val="0"/>
                  <w:checkBox>
                    <w:sizeAuto/>
                    <w:default w:val="0"/>
                  </w:checkBox>
                </w:ffData>
              </w:fldChar>
            </w:r>
            <w:r w:rsidRPr="0066079A">
              <w:rPr>
                <w:rFonts w:ascii="Times New Roman" w:hAnsi="Times New Roman"/>
                <w:color w:val="000000"/>
                <w:sz w:val="21"/>
                <w:szCs w:val="21"/>
              </w:rPr>
              <w:instrText xml:space="preserve"> FORMCHECKBOX </w:instrText>
            </w:r>
            <w:r w:rsidR="00000000">
              <w:rPr>
                <w:rFonts w:ascii="Times New Roman" w:hAnsi="Times New Roman"/>
                <w:color w:val="000000"/>
                <w:sz w:val="21"/>
                <w:szCs w:val="21"/>
              </w:rPr>
            </w:r>
            <w:r w:rsidR="00000000">
              <w:rPr>
                <w:rFonts w:ascii="Times New Roman" w:hAnsi="Times New Roman"/>
                <w:color w:val="000000"/>
                <w:sz w:val="21"/>
                <w:szCs w:val="21"/>
              </w:rPr>
              <w:fldChar w:fldCharType="separate"/>
            </w:r>
            <w:r w:rsidRPr="0066079A">
              <w:rPr>
                <w:rFonts w:ascii="Times New Roman" w:hAnsi="Times New Roman"/>
                <w:color w:val="000000"/>
                <w:sz w:val="21"/>
                <w:szCs w:val="21"/>
              </w:rPr>
              <w:fldChar w:fldCharType="end"/>
            </w:r>
            <w:r w:rsidRPr="0066079A">
              <w:rPr>
                <w:rFonts w:ascii="Times New Roman" w:hAnsi="Times New Roman"/>
                <w:color w:val="000000"/>
                <w:sz w:val="21"/>
                <w:szCs w:val="21"/>
              </w:rPr>
              <w:t xml:space="preserve"> </w:t>
            </w:r>
            <w:r w:rsidRPr="0066079A">
              <w:rPr>
                <w:rFonts w:ascii="Times New Roman" w:hAnsi="Times New Roman"/>
                <w:color w:val="000000"/>
                <w:spacing w:val="-2"/>
                <w:sz w:val="21"/>
                <w:szCs w:val="21"/>
              </w:rPr>
              <w:t>inne:</w:t>
            </w:r>
            <w:r w:rsidRPr="0066079A">
              <w:rPr>
                <w:rFonts w:ascii="Times New Roman" w:hAnsi="Times New Roman"/>
                <w:color w:val="000000"/>
                <w:sz w:val="21"/>
                <w:szCs w:val="21"/>
              </w:rPr>
              <w:t xml:space="preserve"> </w:t>
            </w:r>
            <w:r w:rsidRPr="0066079A">
              <w:rPr>
                <w:rFonts w:ascii="Times New Roman" w:hAnsi="Times New Roman"/>
                <w:color w:val="000000"/>
                <w:sz w:val="21"/>
                <w:szCs w:val="21"/>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66079A">
              <w:rPr>
                <w:rFonts w:ascii="Times New Roman" w:hAnsi="Times New Roman"/>
                <w:color w:val="000000"/>
                <w:sz w:val="21"/>
                <w:szCs w:val="21"/>
              </w:rPr>
              <w:instrText xml:space="preserve"> FORMTEXT </w:instrText>
            </w:r>
            <w:r w:rsidRPr="0066079A">
              <w:rPr>
                <w:rFonts w:ascii="Times New Roman" w:hAnsi="Times New Roman"/>
                <w:color w:val="000000"/>
                <w:sz w:val="21"/>
                <w:szCs w:val="21"/>
              </w:rPr>
            </w:r>
            <w:r w:rsidRPr="0066079A">
              <w:rPr>
                <w:rFonts w:ascii="Times New Roman" w:hAnsi="Times New Roman"/>
                <w:color w:val="000000"/>
                <w:sz w:val="21"/>
                <w:szCs w:val="21"/>
              </w:rPr>
              <w:fldChar w:fldCharType="separate"/>
            </w:r>
            <w:r w:rsidRPr="0066079A">
              <w:rPr>
                <w:rFonts w:ascii="Times New Roman" w:hAnsi="Times New Roman"/>
                <w:noProof/>
                <w:color w:val="000000"/>
                <w:sz w:val="21"/>
                <w:szCs w:val="21"/>
              </w:rPr>
              <w:t> </w:t>
            </w:r>
            <w:r w:rsidRPr="0066079A">
              <w:rPr>
                <w:rFonts w:ascii="Times New Roman" w:hAnsi="Times New Roman"/>
                <w:noProof/>
                <w:color w:val="000000"/>
                <w:sz w:val="21"/>
                <w:szCs w:val="21"/>
              </w:rPr>
              <w:t> </w:t>
            </w:r>
            <w:r w:rsidRPr="0066079A">
              <w:rPr>
                <w:rFonts w:ascii="Times New Roman" w:hAnsi="Times New Roman"/>
                <w:noProof/>
                <w:color w:val="000000"/>
                <w:sz w:val="21"/>
                <w:szCs w:val="21"/>
              </w:rPr>
              <w:t> </w:t>
            </w:r>
            <w:r w:rsidRPr="0066079A">
              <w:rPr>
                <w:rFonts w:ascii="Times New Roman" w:hAnsi="Times New Roman"/>
                <w:noProof/>
                <w:color w:val="000000"/>
                <w:sz w:val="21"/>
                <w:szCs w:val="21"/>
              </w:rPr>
              <w:t> </w:t>
            </w:r>
            <w:r w:rsidRPr="0066079A">
              <w:rPr>
                <w:rFonts w:ascii="Times New Roman" w:hAnsi="Times New Roman"/>
                <w:noProof/>
                <w:color w:val="000000"/>
                <w:sz w:val="21"/>
                <w:szCs w:val="21"/>
              </w:rPr>
              <w:t> </w:t>
            </w:r>
            <w:r w:rsidRPr="0066079A">
              <w:rPr>
                <w:rFonts w:ascii="Times New Roman" w:hAnsi="Times New Roman"/>
                <w:color w:val="000000"/>
                <w:sz w:val="21"/>
                <w:szCs w:val="21"/>
              </w:rPr>
              <w:fldChar w:fldCharType="end"/>
            </w:r>
          </w:p>
        </w:tc>
        <w:tc>
          <w:tcPr>
            <w:tcW w:w="5834" w:type="dxa"/>
            <w:gridSpan w:val="17"/>
            <w:shd w:val="clear" w:color="auto" w:fill="FFFFFF"/>
          </w:tcPr>
          <w:p w14:paraId="0B6049EB" w14:textId="0AC06CFB" w:rsidR="00137409" w:rsidRPr="0066079A" w:rsidRDefault="00137409" w:rsidP="00180F9D">
            <w:pPr>
              <w:spacing w:line="240" w:lineRule="auto"/>
              <w:rPr>
                <w:rFonts w:ascii="Times New Roman" w:hAnsi="Times New Roman"/>
                <w:color w:val="000000"/>
                <w:spacing w:val="-2"/>
                <w:sz w:val="21"/>
                <w:szCs w:val="21"/>
              </w:rPr>
            </w:pPr>
            <w:r w:rsidRPr="0066079A">
              <w:rPr>
                <w:rFonts w:ascii="Times New Roman" w:hAnsi="Times New Roman"/>
                <w:color w:val="000000"/>
                <w:sz w:val="21"/>
                <w:szCs w:val="21"/>
              </w:rPr>
              <w:fldChar w:fldCharType="begin">
                <w:ffData>
                  <w:name w:val=""/>
                  <w:enabled/>
                  <w:calcOnExit w:val="0"/>
                  <w:checkBox>
                    <w:sizeAuto/>
                    <w:default w:val="1"/>
                  </w:checkBox>
                </w:ffData>
              </w:fldChar>
            </w:r>
            <w:r w:rsidRPr="0066079A">
              <w:rPr>
                <w:rFonts w:ascii="Times New Roman" w:hAnsi="Times New Roman"/>
                <w:color w:val="000000"/>
                <w:sz w:val="21"/>
                <w:szCs w:val="21"/>
              </w:rPr>
              <w:instrText xml:space="preserve"> FORMCHECKBOX </w:instrText>
            </w:r>
            <w:r w:rsidR="00000000">
              <w:rPr>
                <w:rFonts w:ascii="Times New Roman" w:hAnsi="Times New Roman"/>
                <w:color w:val="000000"/>
                <w:sz w:val="21"/>
                <w:szCs w:val="21"/>
              </w:rPr>
            </w:r>
            <w:r w:rsidR="00000000">
              <w:rPr>
                <w:rFonts w:ascii="Times New Roman" w:hAnsi="Times New Roman"/>
                <w:color w:val="000000"/>
                <w:sz w:val="21"/>
                <w:szCs w:val="21"/>
              </w:rPr>
              <w:fldChar w:fldCharType="separate"/>
            </w:r>
            <w:r w:rsidRPr="0066079A">
              <w:rPr>
                <w:rFonts w:ascii="Times New Roman" w:hAnsi="Times New Roman"/>
                <w:color w:val="000000"/>
                <w:sz w:val="21"/>
                <w:szCs w:val="21"/>
              </w:rPr>
              <w:fldChar w:fldCharType="end"/>
            </w:r>
            <w:r w:rsidRPr="0066079A">
              <w:rPr>
                <w:rFonts w:ascii="Times New Roman" w:hAnsi="Times New Roman"/>
                <w:color w:val="000000"/>
                <w:sz w:val="21"/>
                <w:szCs w:val="21"/>
              </w:rPr>
              <w:t xml:space="preserve"> </w:t>
            </w:r>
            <w:r w:rsidRPr="0066079A">
              <w:rPr>
                <w:rFonts w:ascii="Times New Roman" w:hAnsi="Times New Roman"/>
                <w:color w:val="000000"/>
                <w:spacing w:val="-2"/>
                <w:sz w:val="21"/>
                <w:szCs w:val="21"/>
              </w:rPr>
              <w:t>zwiększenie liczby dokumentów</w:t>
            </w:r>
          </w:p>
          <w:p w14:paraId="08006510" w14:textId="4D2B933B" w:rsidR="00137409" w:rsidRPr="0066079A" w:rsidRDefault="00137409" w:rsidP="00180F9D">
            <w:pPr>
              <w:spacing w:line="240" w:lineRule="auto"/>
              <w:rPr>
                <w:rFonts w:ascii="Times New Roman" w:hAnsi="Times New Roman"/>
                <w:color w:val="000000"/>
                <w:spacing w:val="-2"/>
                <w:sz w:val="21"/>
                <w:szCs w:val="21"/>
              </w:rPr>
            </w:pPr>
            <w:r w:rsidRPr="0066079A">
              <w:rPr>
                <w:rFonts w:ascii="Times New Roman" w:hAnsi="Times New Roman"/>
                <w:color w:val="000000"/>
                <w:sz w:val="21"/>
                <w:szCs w:val="21"/>
              </w:rPr>
              <w:fldChar w:fldCharType="begin">
                <w:ffData>
                  <w:name w:val=""/>
                  <w:enabled/>
                  <w:calcOnExit w:val="0"/>
                  <w:checkBox>
                    <w:sizeAuto/>
                    <w:default w:val="1"/>
                  </w:checkBox>
                </w:ffData>
              </w:fldChar>
            </w:r>
            <w:r w:rsidRPr="0066079A">
              <w:rPr>
                <w:rFonts w:ascii="Times New Roman" w:hAnsi="Times New Roman"/>
                <w:color w:val="000000"/>
                <w:sz w:val="21"/>
                <w:szCs w:val="21"/>
              </w:rPr>
              <w:instrText xml:space="preserve"> FORMCHECKBOX </w:instrText>
            </w:r>
            <w:r w:rsidR="00000000">
              <w:rPr>
                <w:rFonts w:ascii="Times New Roman" w:hAnsi="Times New Roman"/>
                <w:color w:val="000000"/>
                <w:sz w:val="21"/>
                <w:szCs w:val="21"/>
              </w:rPr>
            </w:r>
            <w:r w:rsidR="00000000">
              <w:rPr>
                <w:rFonts w:ascii="Times New Roman" w:hAnsi="Times New Roman"/>
                <w:color w:val="000000"/>
                <w:sz w:val="21"/>
                <w:szCs w:val="21"/>
              </w:rPr>
              <w:fldChar w:fldCharType="separate"/>
            </w:r>
            <w:r w:rsidRPr="0066079A">
              <w:rPr>
                <w:rFonts w:ascii="Times New Roman" w:hAnsi="Times New Roman"/>
                <w:color w:val="000000"/>
                <w:sz w:val="21"/>
                <w:szCs w:val="21"/>
              </w:rPr>
              <w:fldChar w:fldCharType="end"/>
            </w:r>
            <w:r w:rsidRPr="0066079A">
              <w:rPr>
                <w:rFonts w:ascii="Times New Roman" w:hAnsi="Times New Roman"/>
                <w:color w:val="000000"/>
                <w:sz w:val="21"/>
                <w:szCs w:val="21"/>
              </w:rPr>
              <w:t xml:space="preserve"> </w:t>
            </w:r>
            <w:r w:rsidRPr="0066079A">
              <w:rPr>
                <w:rFonts w:ascii="Times New Roman" w:hAnsi="Times New Roman"/>
                <w:color w:val="000000"/>
                <w:spacing w:val="-2"/>
                <w:sz w:val="21"/>
                <w:szCs w:val="21"/>
              </w:rPr>
              <w:t>zwiększenie liczby procedur</w:t>
            </w:r>
          </w:p>
          <w:p w14:paraId="1231BC21" w14:textId="77777777" w:rsidR="00137409" w:rsidRPr="0066079A" w:rsidRDefault="00137409" w:rsidP="00180F9D">
            <w:pPr>
              <w:spacing w:line="240" w:lineRule="auto"/>
              <w:rPr>
                <w:rFonts w:ascii="Times New Roman" w:hAnsi="Times New Roman"/>
                <w:color w:val="000000"/>
                <w:spacing w:val="-2"/>
                <w:sz w:val="21"/>
                <w:szCs w:val="21"/>
              </w:rPr>
            </w:pPr>
            <w:r w:rsidRPr="0066079A">
              <w:rPr>
                <w:rFonts w:ascii="Times New Roman" w:hAnsi="Times New Roman"/>
                <w:color w:val="000000"/>
                <w:sz w:val="21"/>
                <w:szCs w:val="21"/>
              </w:rPr>
              <w:fldChar w:fldCharType="begin">
                <w:ffData>
                  <w:name w:val="Wybór1"/>
                  <w:enabled/>
                  <w:calcOnExit w:val="0"/>
                  <w:checkBox>
                    <w:sizeAuto/>
                    <w:default w:val="0"/>
                  </w:checkBox>
                </w:ffData>
              </w:fldChar>
            </w:r>
            <w:r w:rsidRPr="0066079A">
              <w:rPr>
                <w:rFonts w:ascii="Times New Roman" w:hAnsi="Times New Roman"/>
                <w:color w:val="000000"/>
                <w:sz w:val="21"/>
                <w:szCs w:val="21"/>
              </w:rPr>
              <w:instrText xml:space="preserve"> FORMCHECKBOX </w:instrText>
            </w:r>
            <w:r w:rsidR="00000000">
              <w:rPr>
                <w:rFonts w:ascii="Times New Roman" w:hAnsi="Times New Roman"/>
                <w:color w:val="000000"/>
                <w:sz w:val="21"/>
                <w:szCs w:val="21"/>
              </w:rPr>
            </w:r>
            <w:r w:rsidR="00000000">
              <w:rPr>
                <w:rFonts w:ascii="Times New Roman" w:hAnsi="Times New Roman"/>
                <w:color w:val="000000"/>
                <w:sz w:val="21"/>
                <w:szCs w:val="21"/>
              </w:rPr>
              <w:fldChar w:fldCharType="separate"/>
            </w:r>
            <w:r w:rsidRPr="0066079A">
              <w:rPr>
                <w:rFonts w:ascii="Times New Roman" w:hAnsi="Times New Roman"/>
                <w:color w:val="000000"/>
                <w:sz w:val="21"/>
                <w:szCs w:val="21"/>
              </w:rPr>
              <w:fldChar w:fldCharType="end"/>
            </w:r>
            <w:r w:rsidRPr="0066079A">
              <w:rPr>
                <w:rFonts w:ascii="Times New Roman" w:hAnsi="Times New Roman"/>
                <w:color w:val="000000"/>
                <w:sz w:val="21"/>
                <w:szCs w:val="21"/>
              </w:rPr>
              <w:t xml:space="preserve"> </w:t>
            </w:r>
            <w:r w:rsidRPr="0066079A">
              <w:rPr>
                <w:rFonts w:ascii="Times New Roman" w:hAnsi="Times New Roman"/>
                <w:color w:val="000000"/>
                <w:spacing w:val="-2"/>
                <w:sz w:val="21"/>
                <w:szCs w:val="21"/>
              </w:rPr>
              <w:t>wydłużenie czasu na załatwienie sprawy</w:t>
            </w:r>
          </w:p>
          <w:p w14:paraId="190B0300" w14:textId="77777777"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fldChar w:fldCharType="begin">
                <w:ffData>
                  <w:name w:val="Wybór1"/>
                  <w:enabled/>
                  <w:calcOnExit w:val="0"/>
                  <w:checkBox>
                    <w:sizeAuto/>
                    <w:default w:val="0"/>
                  </w:checkBox>
                </w:ffData>
              </w:fldChar>
            </w:r>
            <w:r w:rsidRPr="0066079A">
              <w:rPr>
                <w:rFonts w:ascii="Times New Roman" w:hAnsi="Times New Roman"/>
                <w:color w:val="000000"/>
                <w:sz w:val="21"/>
                <w:szCs w:val="21"/>
              </w:rPr>
              <w:instrText xml:space="preserve"> FORMCHECKBOX </w:instrText>
            </w:r>
            <w:r w:rsidR="00000000">
              <w:rPr>
                <w:rFonts w:ascii="Times New Roman" w:hAnsi="Times New Roman"/>
                <w:color w:val="000000"/>
                <w:sz w:val="21"/>
                <w:szCs w:val="21"/>
              </w:rPr>
            </w:r>
            <w:r w:rsidR="00000000">
              <w:rPr>
                <w:rFonts w:ascii="Times New Roman" w:hAnsi="Times New Roman"/>
                <w:color w:val="000000"/>
                <w:sz w:val="21"/>
                <w:szCs w:val="21"/>
              </w:rPr>
              <w:fldChar w:fldCharType="separate"/>
            </w:r>
            <w:r w:rsidRPr="0066079A">
              <w:rPr>
                <w:rFonts w:ascii="Times New Roman" w:hAnsi="Times New Roman"/>
                <w:color w:val="000000"/>
                <w:sz w:val="21"/>
                <w:szCs w:val="21"/>
              </w:rPr>
              <w:fldChar w:fldCharType="end"/>
            </w:r>
            <w:r w:rsidRPr="0066079A">
              <w:rPr>
                <w:rFonts w:ascii="Times New Roman" w:hAnsi="Times New Roman"/>
                <w:color w:val="000000"/>
                <w:sz w:val="21"/>
                <w:szCs w:val="21"/>
              </w:rPr>
              <w:t xml:space="preserve"> </w:t>
            </w:r>
            <w:r w:rsidRPr="0066079A">
              <w:rPr>
                <w:rFonts w:ascii="Times New Roman" w:hAnsi="Times New Roman"/>
                <w:color w:val="000000"/>
                <w:spacing w:val="-2"/>
                <w:sz w:val="21"/>
                <w:szCs w:val="21"/>
              </w:rPr>
              <w:t>inne:</w:t>
            </w:r>
            <w:r w:rsidRPr="0066079A">
              <w:rPr>
                <w:rFonts w:ascii="Times New Roman" w:hAnsi="Times New Roman"/>
                <w:color w:val="000000"/>
                <w:sz w:val="21"/>
                <w:szCs w:val="21"/>
              </w:rPr>
              <w:t xml:space="preserve"> </w:t>
            </w:r>
            <w:r w:rsidRPr="0066079A">
              <w:rPr>
                <w:rFonts w:ascii="Times New Roman" w:hAnsi="Times New Roman"/>
                <w:color w:val="000000"/>
                <w:sz w:val="21"/>
                <w:szCs w:val="21"/>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66079A">
              <w:rPr>
                <w:rFonts w:ascii="Times New Roman" w:hAnsi="Times New Roman"/>
                <w:color w:val="000000"/>
                <w:sz w:val="21"/>
                <w:szCs w:val="21"/>
              </w:rPr>
              <w:instrText xml:space="preserve"> FORMTEXT </w:instrText>
            </w:r>
            <w:r w:rsidRPr="0066079A">
              <w:rPr>
                <w:rFonts w:ascii="Times New Roman" w:hAnsi="Times New Roman"/>
                <w:color w:val="000000"/>
                <w:sz w:val="21"/>
                <w:szCs w:val="21"/>
              </w:rPr>
            </w:r>
            <w:r w:rsidRPr="0066079A">
              <w:rPr>
                <w:rFonts w:ascii="Times New Roman" w:hAnsi="Times New Roman"/>
                <w:color w:val="000000"/>
                <w:sz w:val="21"/>
                <w:szCs w:val="21"/>
              </w:rPr>
              <w:fldChar w:fldCharType="separate"/>
            </w:r>
            <w:r w:rsidRPr="0066079A">
              <w:rPr>
                <w:rFonts w:ascii="Times New Roman" w:hAnsi="Times New Roman"/>
                <w:noProof/>
                <w:color w:val="000000"/>
                <w:sz w:val="21"/>
                <w:szCs w:val="21"/>
              </w:rPr>
              <w:t> </w:t>
            </w:r>
            <w:r w:rsidRPr="0066079A">
              <w:rPr>
                <w:rFonts w:ascii="Times New Roman" w:hAnsi="Times New Roman"/>
                <w:noProof/>
                <w:color w:val="000000"/>
                <w:sz w:val="21"/>
                <w:szCs w:val="21"/>
              </w:rPr>
              <w:t> </w:t>
            </w:r>
            <w:r w:rsidRPr="0066079A">
              <w:rPr>
                <w:rFonts w:ascii="Times New Roman" w:hAnsi="Times New Roman"/>
                <w:noProof/>
                <w:color w:val="000000"/>
                <w:sz w:val="21"/>
                <w:szCs w:val="21"/>
              </w:rPr>
              <w:t> </w:t>
            </w:r>
            <w:r w:rsidRPr="0066079A">
              <w:rPr>
                <w:rFonts w:ascii="Times New Roman" w:hAnsi="Times New Roman"/>
                <w:noProof/>
                <w:color w:val="000000"/>
                <w:sz w:val="21"/>
                <w:szCs w:val="21"/>
              </w:rPr>
              <w:t> </w:t>
            </w:r>
            <w:r w:rsidRPr="0066079A">
              <w:rPr>
                <w:rFonts w:ascii="Times New Roman" w:hAnsi="Times New Roman"/>
                <w:noProof/>
                <w:color w:val="000000"/>
                <w:sz w:val="21"/>
                <w:szCs w:val="21"/>
              </w:rPr>
              <w:t> </w:t>
            </w:r>
            <w:r w:rsidRPr="0066079A">
              <w:rPr>
                <w:rFonts w:ascii="Times New Roman" w:hAnsi="Times New Roman"/>
                <w:color w:val="000000"/>
                <w:sz w:val="21"/>
                <w:szCs w:val="21"/>
              </w:rPr>
              <w:fldChar w:fldCharType="end"/>
            </w:r>
          </w:p>
          <w:p w14:paraId="567ED5A4" w14:textId="77777777" w:rsidR="00137409" w:rsidRPr="0066079A" w:rsidRDefault="00137409" w:rsidP="00180F9D">
            <w:pPr>
              <w:spacing w:line="240" w:lineRule="auto"/>
              <w:rPr>
                <w:rFonts w:ascii="Times New Roman" w:hAnsi="Times New Roman"/>
                <w:color w:val="000000"/>
                <w:sz w:val="21"/>
                <w:szCs w:val="21"/>
              </w:rPr>
            </w:pPr>
          </w:p>
        </w:tc>
      </w:tr>
      <w:tr w:rsidR="00137409" w:rsidRPr="0066079A" w14:paraId="0D3E652A" w14:textId="77777777" w:rsidTr="00A87747">
        <w:trPr>
          <w:gridAfter w:val="1"/>
          <w:wAfter w:w="13" w:type="dxa"/>
          <w:trHeight w:val="870"/>
        </w:trPr>
        <w:tc>
          <w:tcPr>
            <w:tcW w:w="5103" w:type="dxa"/>
            <w:gridSpan w:val="12"/>
            <w:shd w:val="clear" w:color="auto" w:fill="FFFFFF"/>
          </w:tcPr>
          <w:p w14:paraId="7CDF3A5E" w14:textId="77777777"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color w:val="000000"/>
                <w:spacing w:val="-2"/>
                <w:sz w:val="21"/>
                <w:szCs w:val="21"/>
              </w:rPr>
              <w:t xml:space="preserve">Wprowadzane obciążenia są przystosowane do ich elektronizacji. </w:t>
            </w:r>
          </w:p>
        </w:tc>
        <w:tc>
          <w:tcPr>
            <w:tcW w:w="5834" w:type="dxa"/>
            <w:gridSpan w:val="17"/>
            <w:shd w:val="clear" w:color="auto" w:fill="FFFFFF"/>
          </w:tcPr>
          <w:p w14:paraId="1ACF2E33" w14:textId="77777777"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fldChar w:fldCharType="begin">
                <w:ffData>
                  <w:name w:val="Wybór1"/>
                  <w:enabled/>
                  <w:calcOnExit w:val="0"/>
                  <w:checkBox>
                    <w:sizeAuto/>
                    <w:default w:val="0"/>
                  </w:checkBox>
                </w:ffData>
              </w:fldChar>
            </w:r>
            <w:r w:rsidRPr="0066079A">
              <w:rPr>
                <w:rFonts w:ascii="Times New Roman" w:hAnsi="Times New Roman"/>
                <w:color w:val="000000"/>
                <w:sz w:val="21"/>
                <w:szCs w:val="21"/>
              </w:rPr>
              <w:instrText xml:space="preserve"> FORMCHECKBOX </w:instrText>
            </w:r>
            <w:r w:rsidR="00000000">
              <w:rPr>
                <w:rFonts w:ascii="Times New Roman" w:hAnsi="Times New Roman"/>
                <w:color w:val="000000"/>
                <w:sz w:val="21"/>
                <w:szCs w:val="21"/>
              </w:rPr>
            </w:r>
            <w:r w:rsidR="00000000">
              <w:rPr>
                <w:rFonts w:ascii="Times New Roman" w:hAnsi="Times New Roman"/>
                <w:color w:val="000000"/>
                <w:sz w:val="21"/>
                <w:szCs w:val="21"/>
              </w:rPr>
              <w:fldChar w:fldCharType="separate"/>
            </w:r>
            <w:r w:rsidRPr="0066079A">
              <w:rPr>
                <w:rFonts w:ascii="Times New Roman" w:hAnsi="Times New Roman"/>
                <w:color w:val="000000"/>
                <w:sz w:val="21"/>
                <w:szCs w:val="21"/>
              </w:rPr>
              <w:fldChar w:fldCharType="end"/>
            </w:r>
            <w:r w:rsidRPr="0066079A">
              <w:rPr>
                <w:rFonts w:ascii="Times New Roman" w:hAnsi="Times New Roman"/>
                <w:color w:val="000000"/>
                <w:sz w:val="21"/>
                <w:szCs w:val="21"/>
              </w:rPr>
              <w:t xml:space="preserve"> tak</w:t>
            </w:r>
          </w:p>
          <w:p w14:paraId="192C0C5B" w14:textId="77777777"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fldChar w:fldCharType="begin">
                <w:ffData>
                  <w:name w:val="Wybór1"/>
                  <w:enabled/>
                  <w:calcOnExit w:val="0"/>
                  <w:checkBox>
                    <w:sizeAuto/>
                    <w:default w:val="0"/>
                  </w:checkBox>
                </w:ffData>
              </w:fldChar>
            </w:r>
            <w:r w:rsidRPr="0066079A">
              <w:rPr>
                <w:rFonts w:ascii="Times New Roman" w:hAnsi="Times New Roman"/>
                <w:color w:val="000000"/>
                <w:sz w:val="21"/>
                <w:szCs w:val="21"/>
              </w:rPr>
              <w:instrText xml:space="preserve"> FORMCHECKBOX </w:instrText>
            </w:r>
            <w:r w:rsidR="00000000">
              <w:rPr>
                <w:rFonts w:ascii="Times New Roman" w:hAnsi="Times New Roman"/>
                <w:color w:val="000000"/>
                <w:sz w:val="21"/>
                <w:szCs w:val="21"/>
              </w:rPr>
            </w:r>
            <w:r w:rsidR="00000000">
              <w:rPr>
                <w:rFonts w:ascii="Times New Roman" w:hAnsi="Times New Roman"/>
                <w:color w:val="000000"/>
                <w:sz w:val="21"/>
                <w:szCs w:val="21"/>
              </w:rPr>
              <w:fldChar w:fldCharType="separate"/>
            </w:r>
            <w:r w:rsidRPr="0066079A">
              <w:rPr>
                <w:rFonts w:ascii="Times New Roman" w:hAnsi="Times New Roman"/>
                <w:color w:val="000000"/>
                <w:sz w:val="21"/>
                <w:szCs w:val="21"/>
              </w:rPr>
              <w:fldChar w:fldCharType="end"/>
            </w:r>
            <w:r w:rsidRPr="0066079A">
              <w:rPr>
                <w:rFonts w:ascii="Times New Roman" w:hAnsi="Times New Roman"/>
                <w:color w:val="000000"/>
                <w:sz w:val="21"/>
                <w:szCs w:val="21"/>
              </w:rPr>
              <w:t xml:space="preserve"> nie</w:t>
            </w:r>
          </w:p>
          <w:p w14:paraId="49E2D0E1" w14:textId="77777777"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fldChar w:fldCharType="begin">
                <w:ffData>
                  <w:name w:val=""/>
                  <w:enabled/>
                  <w:calcOnExit w:val="0"/>
                  <w:checkBox>
                    <w:sizeAuto/>
                    <w:default w:val="1"/>
                  </w:checkBox>
                </w:ffData>
              </w:fldChar>
            </w:r>
            <w:r w:rsidRPr="0066079A">
              <w:rPr>
                <w:rFonts w:ascii="Times New Roman" w:hAnsi="Times New Roman"/>
                <w:color w:val="000000"/>
                <w:sz w:val="21"/>
                <w:szCs w:val="21"/>
              </w:rPr>
              <w:instrText xml:space="preserve"> FORMCHECKBOX </w:instrText>
            </w:r>
            <w:r w:rsidR="00000000">
              <w:rPr>
                <w:rFonts w:ascii="Times New Roman" w:hAnsi="Times New Roman"/>
                <w:color w:val="000000"/>
                <w:sz w:val="21"/>
                <w:szCs w:val="21"/>
              </w:rPr>
            </w:r>
            <w:r w:rsidR="00000000">
              <w:rPr>
                <w:rFonts w:ascii="Times New Roman" w:hAnsi="Times New Roman"/>
                <w:color w:val="000000"/>
                <w:sz w:val="21"/>
                <w:szCs w:val="21"/>
              </w:rPr>
              <w:fldChar w:fldCharType="separate"/>
            </w:r>
            <w:r w:rsidRPr="0066079A">
              <w:rPr>
                <w:rFonts w:ascii="Times New Roman" w:hAnsi="Times New Roman"/>
                <w:color w:val="000000"/>
                <w:sz w:val="21"/>
                <w:szCs w:val="21"/>
              </w:rPr>
              <w:fldChar w:fldCharType="end"/>
            </w:r>
            <w:r w:rsidRPr="0066079A">
              <w:rPr>
                <w:rFonts w:ascii="Times New Roman" w:hAnsi="Times New Roman"/>
                <w:color w:val="000000"/>
                <w:sz w:val="21"/>
                <w:szCs w:val="21"/>
              </w:rPr>
              <w:t xml:space="preserve"> nie dotyczy</w:t>
            </w:r>
          </w:p>
          <w:p w14:paraId="1D742F11" w14:textId="77777777" w:rsidR="00137409" w:rsidRPr="0066079A" w:rsidRDefault="00137409" w:rsidP="00180F9D">
            <w:pPr>
              <w:spacing w:line="240" w:lineRule="auto"/>
              <w:rPr>
                <w:rFonts w:ascii="Times New Roman" w:hAnsi="Times New Roman"/>
                <w:color w:val="000000"/>
                <w:sz w:val="21"/>
                <w:szCs w:val="21"/>
              </w:rPr>
            </w:pPr>
          </w:p>
        </w:tc>
      </w:tr>
      <w:tr w:rsidR="00137409" w:rsidRPr="0066079A" w14:paraId="3906C62E" w14:textId="77777777" w:rsidTr="00A87747">
        <w:trPr>
          <w:gridAfter w:val="1"/>
          <w:wAfter w:w="13" w:type="dxa"/>
          <w:trHeight w:val="630"/>
        </w:trPr>
        <w:tc>
          <w:tcPr>
            <w:tcW w:w="10937" w:type="dxa"/>
            <w:gridSpan w:val="29"/>
            <w:shd w:val="clear" w:color="auto" w:fill="FFFFFF"/>
          </w:tcPr>
          <w:p w14:paraId="2DBBA266" w14:textId="77777777" w:rsidR="00137409" w:rsidRPr="0066079A" w:rsidRDefault="00137409" w:rsidP="00180F9D">
            <w:pPr>
              <w:spacing w:after="120" w:line="240" w:lineRule="auto"/>
              <w:jc w:val="both"/>
              <w:rPr>
                <w:rFonts w:ascii="Times New Roman" w:hAnsi="Times New Roman"/>
                <w:color w:val="000000"/>
                <w:sz w:val="21"/>
                <w:szCs w:val="21"/>
              </w:rPr>
            </w:pPr>
            <w:r w:rsidRPr="0066079A">
              <w:rPr>
                <w:rFonts w:ascii="Times New Roman" w:hAnsi="Times New Roman"/>
                <w:color w:val="000000"/>
                <w:sz w:val="21"/>
                <w:szCs w:val="21"/>
              </w:rPr>
              <w:t>Komentarz:</w:t>
            </w:r>
          </w:p>
          <w:p w14:paraId="027C5177" w14:textId="139BD163" w:rsidR="00137409" w:rsidRPr="0066079A" w:rsidRDefault="00137409" w:rsidP="00180F9D">
            <w:pPr>
              <w:spacing w:after="120" w:line="240" w:lineRule="auto"/>
              <w:jc w:val="both"/>
              <w:rPr>
                <w:rFonts w:ascii="Times New Roman" w:hAnsi="Times New Roman"/>
                <w:color w:val="000000"/>
                <w:sz w:val="21"/>
                <w:szCs w:val="21"/>
              </w:rPr>
            </w:pPr>
            <w:r w:rsidRPr="0066079A">
              <w:rPr>
                <w:rFonts w:ascii="Times New Roman" w:hAnsi="Times New Roman"/>
                <w:color w:val="000000"/>
                <w:sz w:val="21"/>
                <w:szCs w:val="21"/>
              </w:rPr>
              <w:t>W ramach projektu ustawy planowane jest wprowadzenie nowej formy wsparcia dla części gospodarstw domowych, w postaci bonu energetycznego, którego obsługa realizowana będzie przez gminy.</w:t>
            </w:r>
          </w:p>
          <w:p w14:paraId="6C616E97" w14:textId="4E713FAF" w:rsidR="00137409" w:rsidRDefault="00137409" w:rsidP="00180F9D">
            <w:pPr>
              <w:spacing w:after="120" w:line="240" w:lineRule="auto"/>
              <w:jc w:val="both"/>
              <w:rPr>
                <w:rFonts w:ascii="Times New Roman" w:hAnsi="Times New Roman"/>
                <w:color w:val="000000"/>
                <w:sz w:val="21"/>
                <w:szCs w:val="21"/>
              </w:rPr>
            </w:pPr>
            <w:r w:rsidRPr="0066079A">
              <w:rPr>
                <w:rFonts w:ascii="Times New Roman" w:hAnsi="Times New Roman"/>
                <w:color w:val="000000"/>
                <w:sz w:val="21"/>
                <w:szCs w:val="21"/>
              </w:rPr>
              <w:t xml:space="preserve">W zakresie zmian do ustaw chroniących odbiorców energii projektowane zmiany pozwolą na usprawnienie mechanizmu realizacji wypłat rekompensat dla podmiotów uprawnionych przez Zarządcę Rozliczeń S.A. Propozycje w szczególności eliminują ryzyko kumulacji wniosków składanych do Zarządcy Rozliczeń S.A., co potencjalnie mogłoby powodować opóźnienia w realizacji jego zadań, w tym wypłat rekompensat. </w:t>
            </w:r>
          </w:p>
          <w:p w14:paraId="092AD322" w14:textId="77777777" w:rsidR="00137409" w:rsidRPr="003B62DC" w:rsidRDefault="00137409" w:rsidP="00180F9D">
            <w:pPr>
              <w:spacing w:after="120" w:line="240" w:lineRule="auto"/>
              <w:jc w:val="both"/>
              <w:rPr>
                <w:rFonts w:ascii="Times New Roman" w:hAnsi="Times New Roman"/>
                <w:color w:val="000000"/>
                <w:sz w:val="21"/>
                <w:szCs w:val="21"/>
              </w:rPr>
            </w:pPr>
            <w:r w:rsidRPr="003B62DC">
              <w:rPr>
                <w:rFonts w:ascii="Times New Roman" w:hAnsi="Times New Roman"/>
                <w:color w:val="000000"/>
                <w:sz w:val="21"/>
                <w:szCs w:val="21"/>
              </w:rPr>
              <w:t xml:space="preserve">W zakresie regulacji dotyczących ciepła projekt nie prezentuje znaczącego zwiększenia w zakresie obciążeń regulacyjnych - wszystkie czynności, które muszą wykonać adresaci regulacji w związku z wykonywaniem projektowanych przepisów istnieją już w obowiązujących przepisach. </w:t>
            </w:r>
            <w:r w:rsidRPr="00136490">
              <w:rPr>
                <w:rFonts w:ascii="Times New Roman" w:hAnsi="Times New Roman"/>
                <w:color w:val="000000"/>
                <w:sz w:val="21"/>
                <w:szCs w:val="21"/>
              </w:rPr>
              <w:t>Odnośnie odbiorców końcowych nie ulega zmianie obowiązek składania oświadczeń. W przypadku przedsiębiorstw energetycznych objętych projektowaną regulacją nie zmienia się sposób realizacji obowiązków nałożonych przez ustawę, jak również metoda działania z tym związana.</w:t>
            </w:r>
          </w:p>
          <w:p w14:paraId="6B3DB2F1" w14:textId="075615C2" w:rsidR="00137409" w:rsidRPr="0066079A" w:rsidRDefault="00137409" w:rsidP="00180F9D">
            <w:pPr>
              <w:spacing w:after="120" w:line="240" w:lineRule="auto"/>
              <w:jc w:val="both"/>
              <w:rPr>
                <w:rFonts w:ascii="Times New Roman" w:hAnsi="Times New Roman"/>
                <w:color w:val="000000"/>
                <w:sz w:val="21"/>
                <w:szCs w:val="21"/>
              </w:rPr>
            </w:pPr>
            <w:r w:rsidRPr="003B62DC">
              <w:rPr>
                <w:rFonts w:ascii="Times New Roman" w:hAnsi="Times New Roman"/>
                <w:color w:val="000000"/>
                <w:sz w:val="21"/>
                <w:szCs w:val="21"/>
              </w:rPr>
              <w:t>W zakresie obowiązków informacyjnych uproszczono procedurę o</w:t>
            </w:r>
            <w:r w:rsidRPr="00136490">
              <w:rPr>
                <w:rFonts w:ascii="Times New Roman" w:hAnsi="Times New Roman"/>
                <w:color w:val="000000"/>
                <w:sz w:val="21"/>
                <w:szCs w:val="21"/>
              </w:rPr>
              <w:t>dnośnie wspólnot mieszkaniowych i spółdzielni mieszkaniowych.  Projekt ustawy zakłada informowanie beneficjentów w sposób zwyczajowo przyjęty w danej wspólnocie lub spółdzielni, zamiast natychmiastowego przekazywania zawiadomień do poszczególnych lokali. Dodatkowy obowiązek informacyjny nałożony na wytwórców ciepła nie przełoży się na zwiększenie w tym zakresie obciążeń finansowych.</w:t>
            </w:r>
          </w:p>
        </w:tc>
      </w:tr>
      <w:tr w:rsidR="00137409" w:rsidRPr="0066079A" w14:paraId="5FDEF072" w14:textId="77777777" w:rsidTr="00A87747">
        <w:trPr>
          <w:gridAfter w:val="1"/>
          <w:wAfter w:w="13" w:type="dxa"/>
          <w:trHeight w:val="142"/>
        </w:trPr>
        <w:tc>
          <w:tcPr>
            <w:tcW w:w="10937" w:type="dxa"/>
            <w:gridSpan w:val="29"/>
            <w:shd w:val="clear" w:color="auto" w:fill="99CCFF"/>
          </w:tcPr>
          <w:p w14:paraId="53EDABA6" w14:textId="77777777" w:rsidR="00137409" w:rsidRPr="0066079A" w:rsidRDefault="00137409" w:rsidP="00180F9D">
            <w:pPr>
              <w:numPr>
                <w:ilvl w:val="0"/>
                <w:numId w:val="3"/>
              </w:numPr>
              <w:spacing w:before="60" w:after="60" w:line="240" w:lineRule="auto"/>
              <w:jc w:val="both"/>
              <w:rPr>
                <w:rFonts w:ascii="Times New Roman" w:hAnsi="Times New Roman"/>
                <w:b/>
                <w:color w:val="000000"/>
                <w:sz w:val="21"/>
                <w:szCs w:val="21"/>
              </w:rPr>
            </w:pPr>
            <w:r w:rsidRPr="0066079A">
              <w:rPr>
                <w:rFonts w:ascii="Times New Roman" w:hAnsi="Times New Roman"/>
                <w:b/>
                <w:color w:val="000000"/>
                <w:sz w:val="21"/>
                <w:szCs w:val="21"/>
              </w:rPr>
              <w:t xml:space="preserve">Wpływ na rynek pracy </w:t>
            </w:r>
          </w:p>
        </w:tc>
      </w:tr>
      <w:tr w:rsidR="00137409" w:rsidRPr="0066079A" w14:paraId="5542FFEB" w14:textId="77777777" w:rsidTr="00A87747">
        <w:trPr>
          <w:gridAfter w:val="1"/>
          <w:wAfter w:w="13" w:type="dxa"/>
          <w:trHeight w:val="142"/>
        </w:trPr>
        <w:tc>
          <w:tcPr>
            <w:tcW w:w="10937" w:type="dxa"/>
            <w:gridSpan w:val="29"/>
            <w:shd w:val="clear" w:color="auto" w:fill="auto"/>
          </w:tcPr>
          <w:p w14:paraId="06BB29E6" w14:textId="7E7C0260" w:rsidR="00137409" w:rsidRPr="0066079A" w:rsidRDefault="00137409" w:rsidP="00180F9D">
            <w:pPr>
              <w:spacing w:line="240" w:lineRule="auto"/>
              <w:jc w:val="both"/>
              <w:rPr>
                <w:rFonts w:ascii="Times New Roman" w:hAnsi="Times New Roman"/>
                <w:color w:val="000000"/>
                <w:sz w:val="21"/>
                <w:szCs w:val="21"/>
              </w:rPr>
            </w:pPr>
            <w:r w:rsidRPr="0066079A">
              <w:rPr>
                <w:rFonts w:ascii="Times New Roman" w:hAnsi="Times New Roman"/>
                <w:color w:val="000000"/>
                <w:sz w:val="21"/>
                <w:szCs w:val="21"/>
              </w:rPr>
              <w:lastRenderedPageBreak/>
              <w:t>Brak przewidywanego wpływu na rynek pracy</w:t>
            </w:r>
            <w:r>
              <w:rPr>
                <w:rFonts w:ascii="Times New Roman" w:hAnsi="Times New Roman"/>
                <w:color w:val="000000"/>
                <w:sz w:val="21"/>
                <w:szCs w:val="21"/>
              </w:rPr>
              <w:t>.</w:t>
            </w:r>
          </w:p>
        </w:tc>
      </w:tr>
      <w:tr w:rsidR="00137409" w:rsidRPr="0066079A" w14:paraId="4B271CAA" w14:textId="77777777" w:rsidTr="00A87747">
        <w:trPr>
          <w:gridAfter w:val="1"/>
          <w:wAfter w:w="13" w:type="dxa"/>
          <w:trHeight w:val="142"/>
        </w:trPr>
        <w:tc>
          <w:tcPr>
            <w:tcW w:w="10937" w:type="dxa"/>
            <w:gridSpan w:val="29"/>
            <w:shd w:val="clear" w:color="auto" w:fill="99CCFF"/>
          </w:tcPr>
          <w:p w14:paraId="0660D063" w14:textId="77777777" w:rsidR="00137409" w:rsidRPr="0066079A" w:rsidRDefault="00137409" w:rsidP="00180F9D">
            <w:pPr>
              <w:numPr>
                <w:ilvl w:val="0"/>
                <w:numId w:val="3"/>
              </w:numPr>
              <w:spacing w:before="60" w:after="60" w:line="240" w:lineRule="auto"/>
              <w:jc w:val="both"/>
              <w:rPr>
                <w:rFonts w:ascii="Times New Roman" w:hAnsi="Times New Roman"/>
                <w:b/>
                <w:color w:val="000000"/>
                <w:sz w:val="21"/>
                <w:szCs w:val="21"/>
              </w:rPr>
            </w:pPr>
            <w:r w:rsidRPr="0066079A">
              <w:rPr>
                <w:rFonts w:ascii="Times New Roman" w:hAnsi="Times New Roman"/>
                <w:b/>
                <w:color w:val="000000"/>
                <w:sz w:val="21"/>
                <w:szCs w:val="21"/>
              </w:rPr>
              <w:t>Wpływ na pozostałe obszary</w:t>
            </w:r>
          </w:p>
        </w:tc>
      </w:tr>
      <w:tr w:rsidR="00137409" w:rsidRPr="0066079A" w14:paraId="776F05E7" w14:textId="77777777" w:rsidTr="00A87747">
        <w:trPr>
          <w:gridAfter w:val="1"/>
          <w:wAfter w:w="13" w:type="dxa"/>
          <w:trHeight w:val="1031"/>
        </w:trPr>
        <w:tc>
          <w:tcPr>
            <w:tcW w:w="3539" w:type="dxa"/>
            <w:gridSpan w:val="5"/>
            <w:shd w:val="clear" w:color="auto" w:fill="FFFFFF"/>
          </w:tcPr>
          <w:p w14:paraId="3683702A" w14:textId="77777777" w:rsidR="00137409" w:rsidRPr="0066079A" w:rsidRDefault="00137409" w:rsidP="00180F9D">
            <w:pPr>
              <w:spacing w:line="240" w:lineRule="auto"/>
              <w:rPr>
                <w:rFonts w:ascii="Times New Roman" w:hAnsi="Times New Roman"/>
                <w:color w:val="000000"/>
                <w:sz w:val="21"/>
                <w:szCs w:val="21"/>
              </w:rPr>
            </w:pPr>
          </w:p>
          <w:p w14:paraId="6B72BCE5" w14:textId="77777777" w:rsidR="00137409" w:rsidRPr="0066079A" w:rsidRDefault="00137409" w:rsidP="00180F9D">
            <w:pPr>
              <w:spacing w:line="240" w:lineRule="auto"/>
              <w:rPr>
                <w:rFonts w:ascii="Times New Roman" w:hAnsi="Times New Roman"/>
                <w:color w:val="000000"/>
                <w:spacing w:val="-2"/>
                <w:sz w:val="21"/>
                <w:szCs w:val="21"/>
              </w:rPr>
            </w:pPr>
            <w:r w:rsidRPr="0066079A">
              <w:rPr>
                <w:rFonts w:ascii="Times New Roman" w:hAnsi="Times New Roman"/>
                <w:color w:val="000000"/>
                <w:sz w:val="21"/>
                <w:szCs w:val="21"/>
              </w:rPr>
              <w:fldChar w:fldCharType="begin">
                <w:ffData>
                  <w:name w:val=""/>
                  <w:enabled/>
                  <w:calcOnExit w:val="0"/>
                  <w:checkBox>
                    <w:sizeAuto/>
                    <w:default w:val="0"/>
                  </w:checkBox>
                </w:ffData>
              </w:fldChar>
            </w:r>
            <w:r w:rsidRPr="0066079A">
              <w:rPr>
                <w:rFonts w:ascii="Times New Roman" w:hAnsi="Times New Roman"/>
                <w:color w:val="000000"/>
                <w:sz w:val="21"/>
                <w:szCs w:val="21"/>
              </w:rPr>
              <w:instrText xml:space="preserve"> FORMCHECKBOX </w:instrText>
            </w:r>
            <w:r w:rsidR="00000000">
              <w:rPr>
                <w:rFonts w:ascii="Times New Roman" w:hAnsi="Times New Roman"/>
                <w:color w:val="000000"/>
                <w:sz w:val="21"/>
                <w:szCs w:val="21"/>
              </w:rPr>
            </w:r>
            <w:r w:rsidR="00000000">
              <w:rPr>
                <w:rFonts w:ascii="Times New Roman" w:hAnsi="Times New Roman"/>
                <w:color w:val="000000"/>
                <w:sz w:val="21"/>
                <w:szCs w:val="21"/>
              </w:rPr>
              <w:fldChar w:fldCharType="separate"/>
            </w:r>
            <w:r w:rsidRPr="0066079A">
              <w:rPr>
                <w:rFonts w:ascii="Times New Roman" w:hAnsi="Times New Roman"/>
                <w:color w:val="000000"/>
                <w:sz w:val="21"/>
                <w:szCs w:val="21"/>
              </w:rPr>
              <w:fldChar w:fldCharType="end"/>
            </w:r>
            <w:r w:rsidRPr="0066079A">
              <w:rPr>
                <w:rFonts w:ascii="Times New Roman" w:hAnsi="Times New Roman"/>
                <w:color w:val="000000"/>
                <w:sz w:val="21"/>
                <w:szCs w:val="21"/>
              </w:rPr>
              <w:t xml:space="preserve"> </w:t>
            </w:r>
            <w:r w:rsidRPr="0066079A">
              <w:rPr>
                <w:rFonts w:ascii="Times New Roman" w:hAnsi="Times New Roman"/>
                <w:color w:val="000000"/>
                <w:spacing w:val="-2"/>
                <w:sz w:val="21"/>
                <w:szCs w:val="21"/>
              </w:rPr>
              <w:t>środowisko naturalne</w:t>
            </w:r>
          </w:p>
          <w:p w14:paraId="2BC57B87" w14:textId="716FFA7F"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fldChar w:fldCharType="begin">
                <w:ffData>
                  <w:name w:val=""/>
                  <w:enabled/>
                  <w:calcOnExit w:val="0"/>
                  <w:checkBox>
                    <w:sizeAuto/>
                    <w:default w:val="0"/>
                  </w:checkBox>
                </w:ffData>
              </w:fldChar>
            </w:r>
            <w:r w:rsidRPr="0066079A">
              <w:rPr>
                <w:rFonts w:ascii="Times New Roman" w:hAnsi="Times New Roman"/>
                <w:color w:val="000000"/>
                <w:sz w:val="21"/>
                <w:szCs w:val="21"/>
              </w:rPr>
              <w:instrText xml:space="preserve"> FORMCHECKBOX </w:instrText>
            </w:r>
            <w:r w:rsidR="00000000">
              <w:rPr>
                <w:rFonts w:ascii="Times New Roman" w:hAnsi="Times New Roman"/>
                <w:color w:val="000000"/>
                <w:sz w:val="21"/>
                <w:szCs w:val="21"/>
              </w:rPr>
            </w:r>
            <w:r w:rsidR="00000000">
              <w:rPr>
                <w:rFonts w:ascii="Times New Roman" w:hAnsi="Times New Roman"/>
                <w:color w:val="000000"/>
                <w:sz w:val="21"/>
                <w:szCs w:val="21"/>
              </w:rPr>
              <w:fldChar w:fldCharType="separate"/>
            </w:r>
            <w:r w:rsidRPr="0066079A">
              <w:rPr>
                <w:rFonts w:ascii="Times New Roman" w:hAnsi="Times New Roman"/>
                <w:color w:val="000000"/>
                <w:sz w:val="21"/>
                <w:szCs w:val="21"/>
              </w:rPr>
              <w:fldChar w:fldCharType="end"/>
            </w:r>
            <w:r w:rsidRPr="0066079A">
              <w:rPr>
                <w:rFonts w:ascii="Times New Roman" w:hAnsi="Times New Roman"/>
                <w:color w:val="000000"/>
                <w:sz w:val="21"/>
                <w:szCs w:val="21"/>
              </w:rPr>
              <w:t xml:space="preserve"> sytuacja i rozwój regionalny</w:t>
            </w:r>
          </w:p>
          <w:p w14:paraId="5220B7E5" w14:textId="77777777"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fldChar w:fldCharType="begin">
                <w:ffData>
                  <w:name w:val="Wybór1"/>
                  <w:enabled/>
                  <w:calcOnExit w:val="0"/>
                  <w:checkBox>
                    <w:sizeAuto/>
                    <w:default w:val="0"/>
                  </w:checkBox>
                </w:ffData>
              </w:fldChar>
            </w:r>
            <w:r w:rsidRPr="0066079A">
              <w:rPr>
                <w:rFonts w:ascii="Times New Roman" w:hAnsi="Times New Roman"/>
                <w:color w:val="000000"/>
                <w:sz w:val="21"/>
                <w:szCs w:val="21"/>
              </w:rPr>
              <w:instrText xml:space="preserve"> FORMCHECKBOX </w:instrText>
            </w:r>
            <w:r w:rsidR="00000000">
              <w:rPr>
                <w:rFonts w:ascii="Times New Roman" w:hAnsi="Times New Roman"/>
                <w:color w:val="000000"/>
                <w:sz w:val="21"/>
                <w:szCs w:val="21"/>
              </w:rPr>
            </w:r>
            <w:r w:rsidR="00000000">
              <w:rPr>
                <w:rFonts w:ascii="Times New Roman" w:hAnsi="Times New Roman"/>
                <w:color w:val="000000"/>
                <w:sz w:val="21"/>
                <w:szCs w:val="21"/>
              </w:rPr>
              <w:fldChar w:fldCharType="separate"/>
            </w:r>
            <w:r w:rsidRPr="0066079A">
              <w:rPr>
                <w:rFonts w:ascii="Times New Roman" w:hAnsi="Times New Roman"/>
                <w:color w:val="000000"/>
                <w:sz w:val="21"/>
                <w:szCs w:val="21"/>
              </w:rPr>
              <w:fldChar w:fldCharType="end"/>
            </w:r>
            <w:r w:rsidRPr="0066079A">
              <w:rPr>
                <w:rFonts w:ascii="Times New Roman" w:hAnsi="Times New Roman"/>
                <w:color w:val="000000"/>
                <w:sz w:val="21"/>
                <w:szCs w:val="21"/>
              </w:rPr>
              <w:t xml:space="preserve"> </w:t>
            </w:r>
            <w:r w:rsidRPr="0066079A">
              <w:rPr>
                <w:rFonts w:ascii="Times New Roman" w:hAnsi="Times New Roman"/>
                <w:spacing w:val="-2"/>
                <w:sz w:val="21"/>
                <w:szCs w:val="21"/>
              </w:rPr>
              <w:t>sądy powszechne, administracyjne lub wojskowe</w:t>
            </w:r>
          </w:p>
        </w:tc>
        <w:tc>
          <w:tcPr>
            <w:tcW w:w="3687" w:type="dxa"/>
            <w:gridSpan w:val="14"/>
            <w:shd w:val="clear" w:color="auto" w:fill="FFFFFF"/>
          </w:tcPr>
          <w:p w14:paraId="4C3B9B77" w14:textId="77777777" w:rsidR="00137409" w:rsidRPr="0066079A" w:rsidRDefault="00137409" w:rsidP="00180F9D">
            <w:pPr>
              <w:spacing w:line="240" w:lineRule="auto"/>
              <w:rPr>
                <w:rFonts w:ascii="Times New Roman" w:hAnsi="Times New Roman"/>
                <w:color w:val="000000"/>
                <w:sz w:val="21"/>
                <w:szCs w:val="21"/>
              </w:rPr>
            </w:pPr>
          </w:p>
          <w:p w14:paraId="25C804D1" w14:textId="77777777" w:rsidR="00137409" w:rsidRPr="0066079A" w:rsidRDefault="00137409" w:rsidP="00180F9D">
            <w:pPr>
              <w:spacing w:line="240" w:lineRule="auto"/>
              <w:rPr>
                <w:rFonts w:ascii="Times New Roman" w:hAnsi="Times New Roman"/>
                <w:color w:val="000000"/>
                <w:spacing w:val="-2"/>
                <w:sz w:val="21"/>
                <w:szCs w:val="21"/>
              </w:rPr>
            </w:pPr>
            <w:r w:rsidRPr="0066079A">
              <w:rPr>
                <w:rFonts w:ascii="Times New Roman" w:hAnsi="Times New Roman"/>
                <w:color w:val="000000"/>
                <w:sz w:val="21"/>
                <w:szCs w:val="21"/>
              </w:rPr>
              <w:fldChar w:fldCharType="begin">
                <w:ffData>
                  <w:name w:val="Wybór1"/>
                  <w:enabled/>
                  <w:calcOnExit w:val="0"/>
                  <w:checkBox>
                    <w:sizeAuto/>
                    <w:default w:val="0"/>
                  </w:checkBox>
                </w:ffData>
              </w:fldChar>
            </w:r>
            <w:r w:rsidRPr="0066079A">
              <w:rPr>
                <w:rFonts w:ascii="Times New Roman" w:hAnsi="Times New Roman"/>
                <w:color w:val="000000"/>
                <w:sz w:val="21"/>
                <w:szCs w:val="21"/>
              </w:rPr>
              <w:instrText xml:space="preserve"> FORMCHECKBOX </w:instrText>
            </w:r>
            <w:r w:rsidR="00000000">
              <w:rPr>
                <w:rFonts w:ascii="Times New Roman" w:hAnsi="Times New Roman"/>
                <w:color w:val="000000"/>
                <w:sz w:val="21"/>
                <w:szCs w:val="21"/>
              </w:rPr>
            </w:r>
            <w:r w:rsidR="00000000">
              <w:rPr>
                <w:rFonts w:ascii="Times New Roman" w:hAnsi="Times New Roman"/>
                <w:color w:val="000000"/>
                <w:sz w:val="21"/>
                <w:szCs w:val="21"/>
              </w:rPr>
              <w:fldChar w:fldCharType="separate"/>
            </w:r>
            <w:r w:rsidRPr="0066079A">
              <w:rPr>
                <w:rFonts w:ascii="Times New Roman" w:hAnsi="Times New Roman"/>
                <w:color w:val="000000"/>
                <w:sz w:val="21"/>
                <w:szCs w:val="21"/>
              </w:rPr>
              <w:fldChar w:fldCharType="end"/>
            </w:r>
            <w:r w:rsidRPr="0066079A">
              <w:rPr>
                <w:rFonts w:ascii="Times New Roman" w:hAnsi="Times New Roman"/>
                <w:color w:val="000000"/>
                <w:sz w:val="21"/>
                <w:szCs w:val="21"/>
              </w:rPr>
              <w:t xml:space="preserve"> </w:t>
            </w:r>
            <w:r w:rsidRPr="0066079A">
              <w:rPr>
                <w:rFonts w:ascii="Times New Roman" w:hAnsi="Times New Roman"/>
                <w:color w:val="000000"/>
                <w:spacing w:val="-2"/>
                <w:sz w:val="21"/>
                <w:szCs w:val="21"/>
              </w:rPr>
              <w:t>demografia</w:t>
            </w:r>
          </w:p>
          <w:p w14:paraId="056D7E93" w14:textId="77777777"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fldChar w:fldCharType="begin">
                <w:ffData>
                  <w:name w:val=""/>
                  <w:enabled/>
                  <w:calcOnExit w:val="0"/>
                  <w:checkBox>
                    <w:sizeAuto/>
                    <w:default w:val="0"/>
                  </w:checkBox>
                </w:ffData>
              </w:fldChar>
            </w:r>
            <w:r w:rsidRPr="0066079A">
              <w:rPr>
                <w:rFonts w:ascii="Times New Roman" w:hAnsi="Times New Roman"/>
                <w:color w:val="000000"/>
                <w:sz w:val="21"/>
                <w:szCs w:val="21"/>
              </w:rPr>
              <w:instrText xml:space="preserve"> FORMCHECKBOX </w:instrText>
            </w:r>
            <w:r w:rsidR="00000000">
              <w:rPr>
                <w:rFonts w:ascii="Times New Roman" w:hAnsi="Times New Roman"/>
                <w:color w:val="000000"/>
                <w:sz w:val="21"/>
                <w:szCs w:val="21"/>
              </w:rPr>
            </w:r>
            <w:r w:rsidR="00000000">
              <w:rPr>
                <w:rFonts w:ascii="Times New Roman" w:hAnsi="Times New Roman"/>
                <w:color w:val="000000"/>
                <w:sz w:val="21"/>
                <w:szCs w:val="21"/>
              </w:rPr>
              <w:fldChar w:fldCharType="separate"/>
            </w:r>
            <w:r w:rsidRPr="0066079A">
              <w:rPr>
                <w:rFonts w:ascii="Times New Roman" w:hAnsi="Times New Roman"/>
                <w:color w:val="000000"/>
                <w:sz w:val="21"/>
                <w:szCs w:val="21"/>
              </w:rPr>
              <w:fldChar w:fldCharType="end"/>
            </w:r>
            <w:r w:rsidRPr="0066079A">
              <w:rPr>
                <w:rFonts w:ascii="Times New Roman" w:hAnsi="Times New Roman"/>
                <w:color w:val="000000"/>
                <w:sz w:val="21"/>
                <w:szCs w:val="21"/>
              </w:rPr>
              <w:t xml:space="preserve"> mienie państwowe</w:t>
            </w:r>
          </w:p>
          <w:p w14:paraId="549D8D2A" w14:textId="2345677A"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fldChar w:fldCharType="begin">
                <w:ffData>
                  <w:name w:val=""/>
                  <w:enabled/>
                  <w:calcOnExit w:val="0"/>
                  <w:checkBox>
                    <w:sizeAuto/>
                    <w:default w:val="1"/>
                  </w:checkBox>
                </w:ffData>
              </w:fldChar>
            </w:r>
            <w:r w:rsidRPr="0066079A">
              <w:rPr>
                <w:rFonts w:ascii="Times New Roman" w:hAnsi="Times New Roman"/>
                <w:color w:val="000000"/>
                <w:sz w:val="21"/>
                <w:szCs w:val="21"/>
              </w:rPr>
              <w:instrText xml:space="preserve"> FORMCHECKBOX </w:instrText>
            </w:r>
            <w:r w:rsidR="00000000">
              <w:rPr>
                <w:rFonts w:ascii="Times New Roman" w:hAnsi="Times New Roman"/>
                <w:color w:val="000000"/>
                <w:sz w:val="21"/>
                <w:szCs w:val="21"/>
              </w:rPr>
            </w:r>
            <w:r w:rsidR="00000000">
              <w:rPr>
                <w:rFonts w:ascii="Times New Roman" w:hAnsi="Times New Roman"/>
                <w:color w:val="000000"/>
                <w:sz w:val="21"/>
                <w:szCs w:val="21"/>
              </w:rPr>
              <w:fldChar w:fldCharType="separate"/>
            </w:r>
            <w:r w:rsidRPr="0066079A">
              <w:rPr>
                <w:rFonts w:ascii="Times New Roman" w:hAnsi="Times New Roman"/>
                <w:color w:val="000000"/>
                <w:sz w:val="21"/>
                <w:szCs w:val="21"/>
              </w:rPr>
              <w:fldChar w:fldCharType="end"/>
            </w:r>
            <w:r w:rsidRPr="0066079A">
              <w:rPr>
                <w:rFonts w:ascii="Times New Roman" w:hAnsi="Times New Roman"/>
                <w:color w:val="000000"/>
                <w:sz w:val="21"/>
                <w:szCs w:val="21"/>
              </w:rPr>
              <w:t xml:space="preserve"> </w:t>
            </w:r>
            <w:r w:rsidRPr="0066079A">
              <w:rPr>
                <w:rFonts w:ascii="Times New Roman" w:hAnsi="Times New Roman"/>
                <w:color w:val="000000"/>
                <w:spacing w:val="-2"/>
                <w:sz w:val="21"/>
                <w:szCs w:val="21"/>
              </w:rPr>
              <w:t xml:space="preserve">inne: sytuacja społeczno-gospodarcza </w:t>
            </w:r>
          </w:p>
        </w:tc>
        <w:tc>
          <w:tcPr>
            <w:tcW w:w="3711" w:type="dxa"/>
            <w:gridSpan w:val="10"/>
            <w:shd w:val="clear" w:color="auto" w:fill="FFFFFF"/>
          </w:tcPr>
          <w:p w14:paraId="3B3D7434" w14:textId="77777777" w:rsidR="00137409" w:rsidRPr="0066079A" w:rsidRDefault="00137409" w:rsidP="00180F9D">
            <w:pPr>
              <w:spacing w:line="240" w:lineRule="auto"/>
              <w:rPr>
                <w:rFonts w:ascii="Times New Roman" w:hAnsi="Times New Roman"/>
                <w:color w:val="000000"/>
                <w:sz w:val="21"/>
                <w:szCs w:val="21"/>
              </w:rPr>
            </w:pPr>
          </w:p>
          <w:p w14:paraId="3F9FB09A" w14:textId="77777777" w:rsidR="00137409" w:rsidRPr="0066079A" w:rsidRDefault="00137409" w:rsidP="00180F9D">
            <w:pPr>
              <w:spacing w:line="240" w:lineRule="auto"/>
              <w:rPr>
                <w:rFonts w:ascii="Times New Roman" w:hAnsi="Times New Roman"/>
                <w:color w:val="000000"/>
                <w:spacing w:val="-2"/>
                <w:sz w:val="21"/>
                <w:szCs w:val="21"/>
              </w:rPr>
            </w:pPr>
            <w:r w:rsidRPr="0066079A">
              <w:rPr>
                <w:rFonts w:ascii="Times New Roman" w:hAnsi="Times New Roman"/>
                <w:color w:val="000000"/>
                <w:sz w:val="21"/>
                <w:szCs w:val="21"/>
              </w:rPr>
              <w:fldChar w:fldCharType="begin">
                <w:ffData>
                  <w:name w:val="Wybór1"/>
                  <w:enabled/>
                  <w:calcOnExit w:val="0"/>
                  <w:checkBox>
                    <w:sizeAuto/>
                    <w:default w:val="0"/>
                  </w:checkBox>
                </w:ffData>
              </w:fldChar>
            </w:r>
            <w:r w:rsidRPr="0066079A">
              <w:rPr>
                <w:rFonts w:ascii="Times New Roman" w:hAnsi="Times New Roman"/>
                <w:color w:val="000000"/>
                <w:sz w:val="21"/>
                <w:szCs w:val="21"/>
              </w:rPr>
              <w:instrText xml:space="preserve"> FORMCHECKBOX </w:instrText>
            </w:r>
            <w:r w:rsidR="00000000">
              <w:rPr>
                <w:rFonts w:ascii="Times New Roman" w:hAnsi="Times New Roman"/>
                <w:color w:val="000000"/>
                <w:sz w:val="21"/>
                <w:szCs w:val="21"/>
              </w:rPr>
            </w:r>
            <w:r w:rsidR="00000000">
              <w:rPr>
                <w:rFonts w:ascii="Times New Roman" w:hAnsi="Times New Roman"/>
                <w:color w:val="000000"/>
                <w:sz w:val="21"/>
                <w:szCs w:val="21"/>
              </w:rPr>
              <w:fldChar w:fldCharType="separate"/>
            </w:r>
            <w:r w:rsidRPr="0066079A">
              <w:rPr>
                <w:rFonts w:ascii="Times New Roman" w:hAnsi="Times New Roman"/>
                <w:color w:val="000000"/>
                <w:sz w:val="21"/>
                <w:szCs w:val="21"/>
              </w:rPr>
              <w:fldChar w:fldCharType="end"/>
            </w:r>
            <w:r w:rsidRPr="0066079A">
              <w:rPr>
                <w:rFonts w:ascii="Times New Roman" w:hAnsi="Times New Roman"/>
                <w:color w:val="000000"/>
                <w:sz w:val="21"/>
                <w:szCs w:val="21"/>
              </w:rPr>
              <w:t xml:space="preserve"> </w:t>
            </w:r>
            <w:r w:rsidRPr="0066079A">
              <w:rPr>
                <w:rFonts w:ascii="Times New Roman" w:hAnsi="Times New Roman"/>
                <w:color w:val="000000"/>
                <w:spacing w:val="-2"/>
                <w:sz w:val="21"/>
                <w:szCs w:val="21"/>
              </w:rPr>
              <w:t>informatyzacja</w:t>
            </w:r>
          </w:p>
          <w:p w14:paraId="6C46E93F" w14:textId="77777777"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fldChar w:fldCharType="begin">
                <w:ffData>
                  <w:name w:val="Wybór1"/>
                  <w:enabled/>
                  <w:calcOnExit w:val="0"/>
                  <w:checkBox>
                    <w:sizeAuto/>
                    <w:default w:val="0"/>
                  </w:checkBox>
                </w:ffData>
              </w:fldChar>
            </w:r>
            <w:r w:rsidRPr="0066079A">
              <w:rPr>
                <w:rFonts w:ascii="Times New Roman" w:hAnsi="Times New Roman"/>
                <w:color w:val="000000"/>
                <w:sz w:val="21"/>
                <w:szCs w:val="21"/>
              </w:rPr>
              <w:instrText xml:space="preserve"> FORMCHECKBOX </w:instrText>
            </w:r>
            <w:r w:rsidR="00000000">
              <w:rPr>
                <w:rFonts w:ascii="Times New Roman" w:hAnsi="Times New Roman"/>
                <w:color w:val="000000"/>
                <w:sz w:val="21"/>
                <w:szCs w:val="21"/>
              </w:rPr>
            </w:r>
            <w:r w:rsidR="00000000">
              <w:rPr>
                <w:rFonts w:ascii="Times New Roman" w:hAnsi="Times New Roman"/>
                <w:color w:val="000000"/>
                <w:sz w:val="21"/>
                <w:szCs w:val="21"/>
              </w:rPr>
              <w:fldChar w:fldCharType="separate"/>
            </w:r>
            <w:r w:rsidRPr="0066079A">
              <w:rPr>
                <w:rFonts w:ascii="Times New Roman" w:hAnsi="Times New Roman"/>
                <w:color w:val="000000"/>
                <w:sz w:val="21"/>
                <w:szCs w:val="21"/>
              </w:rPr>
              <w:fldChar w:fldCharType="end"/>
            </w:r>
            <w:r w:rsidRPr="0066079A">
              <w:rPr>
                <w:rFonts w:ascii="Times New Roman" w:hAnsi="Times New Roman"/>
                <w:color w:val="000000"/>
                <w:sz w:val="21"/>
                <w:szCs w:val="21"/>
              </w:rPr>
              <w:t xml:space="preserve"> </w:t>
            </w:r>
            <w:r w:rsidRPr="0066079A">
              <w:rPr>
                <w:rFonts w:ascii="Times New Roman" w:hAnsi="Times New Roman"/>
                <w:color w:val="000000"/>
                <w:spacing w:val="-2"/>
                <w:sz w:val="21"/>
                <w:szCs w:val="21"/>
              </w:rPr>
              <w:t>zdrowie</w:t>
            </w:r>
          </w:p>
        </w:tc>
      </w:tr>
      <w:tr w:rsidR="00137409" w:rsidRPr="0066079A" w14:paraId="63754016" w14:textId="77777777" w:rsidTr="00A87747">
        <w:trPr>
          <w:gridAfter w:val="1"/>
          <w:wAfter w:w="13" w:type="dxa"/>
          <w:trHeight w:val="712"/>
        </w:trPr>
        <w:tc>
          <w:tcPr>
            <w:tcW w:w="2238" w:type="dxa"/>
            <w:gridSpan w:val="2"/>
            <w:shd w:val="clear" w:color="auto" w:fill="FFFFFF"/>
            <w:vAlign w:val="center"/>
          </w:tcPr>
          <w:p w14:paraId="79425E09" w14:textId="77777777" w:rsidR="00137409" w:rsidRPr="0066079A" w:rsidRDefault="00137409" w:rsidP="00180F9D">
            <w:pPr>
              <w:spacing w:line="240" w:lineRule="auto"/>
              <w:rPr>
                <w:rFonts w:ascii="Times New Roman" w:hAnsi="Times New Roman"/>
                <w:color w:val="000000"/>
                <w:sz w:val="21"/>
                <w:szCs w:val="21"/>
              </w:rPr>
            </w:pPr>
            <w:r w:rsidRPr="0066079A">
              <w:rPr>
                <w:rFonts w:ascii="Times New Roman" w:hAnsi="Times New Roman"/>
                <w:color w:val="000000"/>
                <w:sz w:val="21"/>
                <w:szCs w:val="21"/>
              </w:rPr>
              <w:t>Omówienie wpływu</w:t>
            </w:r>
          </w:p>
        </w:tc>
        <w:tc>
          <w:tcPr>
            <w:tcW w:w="8699" w:type="dxa"/>
            <w:gridSpan w:val="27"/>
            <w:shd w:val="clear" w:color="auto" w:fill="FFFFFF"/>
            <w:vAlign w:val="center"/>
          </w:tcPr>
          <w:p w14:paraId="021E6780" w14:textId="77777777" w:rsidR="00137409" w:rsidRPr="0066079A" w:rsidRDefault="00137409" w:rsidP="00180F9D">
            <w:pPr>
              <w:spacing w:line="240" w:lineRule="auto"/>
              <w:jc w:val="both"/>
              <w:rPr>
                <w:rFonts w:ascii="Times New Roman" w:hAnsi="Times New Roman"/>
                <w:color w:val="000000"/>
                <w:spacing w:val="-2"/>
                <w:sz w:val="21"/>
                <w:szCs w:val="21"/>
              </w:rPr>
            </w:pPr>
            <w:r w:rsidRPr="0066079A">
              <w:rPr>
                <w:rFonts w:ascii="Times New Roman" w:hAnsi="Times New Roman"/>
                <w:color w:val="000000"/>
                <w:spacing w:val="-2"/>
                <w:sz w:val="21"/>
                <w:szCs w:val="21"/>
              </w:rPr>
              <w:t>Proponowane przepisy mają na celu złagodzenie skutków wzrostu cen energii elektrycznej. Dzięki temu rozwiązaniu kondycja finansowa obywateli, a co za tym idzie polskiej gospodarki nie ulegnie drastycznej, negatywnej zmianie. Pośrednio przełoży się to pozytywnie na inne sfery życia społecznego i funkcjonowanie państwa.</w:t>
            </w:r>
          </w:p>
        </w:tc>
      </w:tr>
      <w:tr w:rsidR="00137409" w:rsidRPr="0066079A" w14:paraId="3FF980F9" w14:textId="77777777" w:rsidTr="00A87747">
        <w:trPr>
          <w:gridAfter w:val="1"/>
          <w:wAfter w:w="13" w:type="dxa"/>
          <w:trHeight w:val="142"/>
        </w:trPr>
        <w:tc>
          <w:tcPr>
            <w:tcW w:w="10937" w:type="dxa"/>
            <w:gridSpan w:val="29"/>
            <w:shd w:val="clear" w:color="auto" w:fill="99CCFF"/>
          </w:tcPr>
          <w:p w14:paraId="24287ABE" w14:textId="77777777" w:rsidR="00137409" w:rsidRPr="0066079A" w:rsidRDefault="00137409" w:rsidP="00180F9D">
            <w:pPr>
              <w:numPr>
                <w:ilvl w:val="0"/>
                <w:numId w:val="3"/>
              </w:numPr>
              <w:spacing w:before="60" w:after="60" w:line="240" w:lineRule="auto"/>
              <w:ind w:left="318" w:hanging="284"/>
              <w:jc w:val="both"/>
              <w:rPr>
                <w:rFonts w:ascii="Times New Roman" w:hAnsi="Times New Roman"/>
                <w:b/>
                <w:sz w:val="21"/>
                <w:szCs w:val="21"/>
              </w:rPr>
            </w:pPr>
            <w:r w:rsidRPr="0066079A">
              <w:rPr>
                <w:rFonts w:ascii="Times New Roman" w:hAnsi="Times New Roman"/>
                <w:b/>
                <w:spacing w:val="-2"/>
                <w:sz w:val="21"/>
                <w:szCs w:val="21"/>
              </w:rPr>
              <w:t>Planowane wykonanie przepisów aktu prawnego</w:t>
            </w:r>
          </w:p>
        </w:tc>
      </w:tr>
      <w:tr w:rsidR="00137409" w:rsidRPr="0066079A" w14:paraId="5BB105C4" w14:textId="77777777" w:rsidTr="00A87747">
        <w:trPr>
          <w:gridAfter w:val="1"/>
          <w:wAfter w:w="13" w:type="dxa"/>
          <w:trHeight w:val="142"/>
        </w:trPr>
        <w:tc>
          <w:tcPr>
            <w:tcW w:w="10937" w:type="dxa"/>
            <w:gridSpan w:val="29"/>
            <w:shd w:val="clear" w:color="auto" w:fill="FFFFFF"/>
          </w:tcPr>
          <w:p w14:paraId="13C2780F" w14:textId="283B3890" w:rsidR="00137409" w:rsidRDefault="00137409" w:rsidP="00180F9D">
            <w:pPr>
              <w:spacing w:after="120" w:line="240" w:lineRule="auto"/>
              <w:jc w:val="both"/>
              <w:rPr>
                <w:rFonts w:ascii="Times New Roman" w:hAnsi="Times New Roman"/>
                <w:spacing w:val="-2"/>
                <w:sz w:val="21"/>
                <w:szCs w:val="21"/>
              </w:rPr>
            </w:pPr>
            <w:r w:rsidRPr="0066079A">
              <w:rPr>
                <w:rFonts w:ascii="Times New Roman" w:hAnsi="Times New Roman"/>
                <w:spacing w:val="-2"/>
                <w:sz w:val="21"/>
                <w:szCs w:val="21"/>
              </w:rPr>
              <w:t>W związku z dynamicznie rozwijającą się sytuacją przepisy powinny wejść w życie niezwłocznie po ich ogłoszeniu</w:t>
            </w:r>
            <w:r w:rsidRPr="00BF752F">
              <w:rPr>
                <w:rFonts w:ascii="Times New Roman" w:hAnsi="Times New Roman"/>
                <w:spacing w:val="-2"/>
                <w:sz w:val="21"/>
                <w:szCs w:val="21"/>
              </w:rPr>
              <w:t xml:space="preserve"> </w:t>
            </w:r>
            <w:r>
              <w:rPr>
                <w:rFonts w:ascii="Times New Roman" w:hAnsi="Times New Roman"/>
                <w:spacing w:val="-2"/>
                <w:sz w:val="21"/>
                <w:szCs w:val="21"/>
              </w:rPr>
              <w:t>(</w:t>
            </w:r>
            <w:r w:rsidRPr="00BF752F">
              <w:rPr>
                <w:rFonts w:ascii="Times New Roman" w:hAnsi="Times New Roman"/>
                <w:spacing w:val="-2"/>
                <w:sz w:val="21"/>
                <w:szCs w:val="21"/>
              </w:rPr>
              <w:t xml:space="preserve">z </w:t>
            </w:r>
            <w:r w:rsidRPr="00C25455">
              <w:rPr>
                <w:rFonts w:ascii="Times New Roman" w:hAnsi="Times New Roman"/>
                <w:sz w:val="21"/>
                <w:szCs w:val="21"/>
              </w:rPr>
              <w:t>wyjątkiem przepisów dotyczących ciepła, które to przepisy powinny wejść w życie z dniem 1 lipca 2024 r.</w:t>
            </w:r>
            <w:r>
              <w:rPr>
                <w:rFonts w:ascii="Times New Roman" w:hAnsi="Times New Roman"/>
                <w:sz w:val="21"/>
                <w:szCs w:val="21"/>
              </w:rPr>
              <w:t>).</w:t>
            </w:r>
            <w:r w:rsidRPr="0066079A">
              <w:rPr>
                <w:rFonts w:ascii="Times New Roman" w:hAnsi="Times New Roman"/>
                <w:spacing w:val="-2"/>
                <w:sz w:val="21"/>
                <w:szCs w:val="21"/>
              </w:rPr>
              <w:t xml:space="preserve"> Konieczny jest bowiem odpowiedni okres na przygotowanie się przedsiębiorstw energetycznych, jak również innych zaangażowanych podmiotów i organów (np. Zarządca Rozliczeń S.A., Prezes URE) do nowych uwarunkowań prawnych.</w:t>
            </w:r>
          </w:p>
          <w:p w14:paraId="5AB9006A" w14:textId="77777777" w:rsidR="00137409" w:rsidRPr="00C25455" w:rsidRDefault="00137409" w:rsidP="00180F9D">
            <w:pPr>
              <w:widowControl w:val="0"/>
              <w:suppressAutoHyphens/>
              <w:autoSpaceDE w:val="0"/>
              <w:autoSpaceDN w:val="0"/>
              <w:spacing w:after="120" w:line="240" w:lineRule="auto"/>
              <w:jc w:val="both"/>
              <w:rPr>
                <w:rFonts w:ascii="Times New Roman" w:hAnsi="Times New Roman"/>
                <w:kern w:val="3"/>
                <w:sz w:val="21"/>
                <w:szCs w:val="21"/>
              </w:rPr>
            </w:pPr>
            <w:r w:rsidRPr="00C25455">
              <w:rPr>
                <w:rFonts w:ascii="Times New Roman" w:hAnsi="Times New Roman"/>
                <w:kern w:val="3"/>
                <w:sz w:val="21"/>
                <w:szCs w:val="21"/>
              </w:rPr>
              <w:t xml:space="preserve">Zgodnie z art. 4 ust. 2 ustawy z dnia 20 lipca 2000 r. o ogłaszaniu aktów normatywnych i niektórych innych aktów prawnych (Dz. U. z 2019 r. poz. 1461) w uzasadnionych przypadkach akty normatywne mogą wchodzić w życie w terminie krótszym niż czternaście dni, a jeżeli ważny interes państwa wymaga natychmiastowego wejścia w życie aktu normatywnego i zasady demokratycznego państwa prawnego nie stoją temu na przeszkodzie, dniem wejścia w życie może być dzień ogłoszenia tego aktu w dzienniku urzędowym. </w:t>
            </w:r>
          </w:p>
          <w:p w14:paraId="61D5A1E7" w14:textId="3F2445CE" w:rsidR="00137409" w:rsidRPr="00425769" w:rsidRDefault="00137409" w:rsidP="00180F9D">
            <w:pPr>
              <w:widowControl w:val="0"/>
              <w:suppressAutoHyphens/>
              <w:autoSpaceDE w:val="0"/>
              <w:autoSpaceDN w:val="0"/>
              <w:spacing w:after="120" w:line="240" w:lineRule="auto"/>
              <w:jc w:val="both"/>
              <w:rPr>
                <w:rFonts w:ascii="Times New Roman" w:hAnsi="Times New Roman"/>
                <w:kern w:val="3"/>
                <w:sz w:val="21"/>
                <w:szCs w:val="21"/>
              </w:rPr>
            </w:pPr>
            <w:r w:rsidRPr="00C25455">
              <w:rPr>
                <w:rFonts w:ascii="Times New Roman" w:hAnsi="Times New Roman"/>
                <w:kern w:val="3"/>
                <w:sz w:val="21"/>
                <w:szCs w:val="21"/>
              </w:rPr>
              <w:t xml:space="preserve">Proponowane rozwiązanie dotyczące terminu wejścia w życie projektowanych zmian do ustawy jest uzasadnione interesem adresatów zawartych w nim norm prawnych. Zachowanie czternastodniowego vacatio legis mogłoby wiązać się z negatywnymi konsekwencjami w szczególności dla gospodarstw domowych i podmiotów użyteczności publicznej, poprzez brak możliwości ograniczenia negatywnych skutków finansowych, związanych z wahającymi się cenami na rynkach paliw i energii. </w:t>
            </w:r>
            <w:r w:rsidRPr="00136490">
              <w:rPr>
                <w:rFonts w:ascii="Times New Roman" w:hAnsi="Times New Roman"/>
                <w:kern w:val="3"/>
                <w:sz w:val="21"/>
                <w:szCs w:val="21"/>
              </w:rPr>
              <w:t xml:space="preserve">Przewiduje się, że brak wprowadzenia zaproponowanych regulacji w terminie od 1 lipca 2024 r. może spowodować skokowy wzrost cen ciepła dla odbiorców końcowych. </w:t>
            </w:r>
          </w:p>
        </w:tc>
      </w:tr>
      <w:tr w:rsidR="00137409" w:rsidRPr="0066079A" w14:paraId="27A5D860" w14:textId="77777777" w:rsidTr="00A87747">
        <w:trPr>
          <w:gridAfter w:val="1"/>
          <w:wAfter w:w="13" w:type="dxa"/>
          <w:trHeight w:val="142"/>
        </w:trPr>
        <w:tc>
          <w:tcPr>
            <w:tcW w:w="10937" w:type="dxa"/>
            <w:gridSpan w:val="29"/>
            <w:shd w:val="clear" w:color="auto" w:fill="99CCFF"/>
          </w:tcPr>
          <w:p w14:paraId="31370ACB" w14:textId="77777777" w:rsidR="00137409" w:rsidRPr="0066079A" w:rsidRDefault="00137409" w:rsidP="00180F9D">
            <w:pPr>
              <w:numPr>
                <w:ilvl w:val="0"/>
                <w:numId w:val="3"/>
              </w:numPr>
              <w:spacing w:before="60" w:after="60" w:line="240" w:lineRule="auto"/>
              <w:ind w:left="318" w:hanging="284"/>
              <w:jc w:val="both"/>
              <w:rPr>
                <w:rFonts w:ascii="Times New Roman" w:hAnsi="Times New Roman"/>
                <w:b/>
                <w:color w:val="000000"/>
                <w:sz w:val="21"/>
                <w:szCs w:val="21"/>
              </w:rPr>
            </w:pPr>
            <w:r w:rsidRPr="0066079A">
              <w:rPr>
                <w:rFonts w:ascii="Times New Roman" w:hAnsi="Times New Roman"/>
                <w:b/>
                <w:color w:val="000000"/>
                <w:sz w:val="21"/>
                <w:szCs w:val="21"/>
              </w:rPr>
              <w:t xml:space="preserve"> </w:t>
            </w:r>
            <w:r w:rsidRPr="0066079A">
              <w:rPr>
                <w:rFonts w:ascii="Times New Roman" w:hAnsi="Times New Roman"/>
                <w:b/>
                <w:spacing w:val="-2"/>
                <w:sz w:val="21"/>
                <w:szCs w:val="21"/>
              </w:rPr>
              <w:t>W jaki sposób i kiedy nastąpi ewaluacja efektów projektu oraz jakie mierniki zostaną zastosowane?</w:t>
            </w:r>
          </w:p>
        </w:tc>
      </w:tr>
      <w:tr w:rsidR="00137409" w:rsidRPr="0066079A" w14:paraId="382527D8" w14:textId="77777777" w:rsidTr="00A87747">
        <w:trPr>
          <w:gridAfter w:val="1"/>
          <w:wAfter w:w="13" w:type="dxa"/>
          <w:trHeight w:val="142"/>
        </w:trPr>
        <w:tc>
          <w:tcPr>
            <w:tcW w:w="10937" w:type="dxa"/>
            <w:gridSpan w:val="29"/>
            <w:shd w:val="clear" w:color="auto" w:fill="FFFFFF"/>
          </w:tcPr>
          <w:p w14:paraId="3609712B" w14:textId="375B3F6E" w:rsidR="00137409" w:rsidRDefault="00137409" w:rsidP="00180F9D">
            <w:pPr>
              <w:spacing w:after="120" w:line="240" w:lineRule="auto"/>
              <w:jc w:val="both"/>
              <w:rPr>
                <w:rFonts w:ascii="Times New Roman" w:hAnsi="Times New Roman"/>
                <w:spacing w:val="-2"/>
                <w:sz w:val="21"/>
                <w:szCs w:val="21"/>
              </w:rPr>
            </w:pPr>
            <w:r w:rsidRPr="0066079A">
              <w:rPr>
                <w:rFonts w:ascii="Times New Roman" w:hAnsi="Times New Roman"/>
                <w:color w:val="000000"/>
                <w:spacing w:val="-2"/>
                <w:sz w:val="21"/>
                <w:szCs w:val="21"/>
              </w:rPr>
              <w:t xml:space="preserve">W zakresie bonu energetycznego: </w:t>
            </w:r>
            <w:r w:rsidR="00180F9D">
              <w:rPr>
                <w:rFonts w:ascii="Times New Roman" w:hAnsi="Times New Roman"/>
                <w:color w:val="000000"/>
                <w:spacing w:val="-2"/>
                <w:sz w:val="21"/>
                <w:szCs w:val="21"/>
              </w:rPr>
              <w:t>e</w:t>
            </w:r>
            <w:r w:rsidRPr="0066079A">
              <w:rPr>
                <w:rFonts w:ascii="Times New Roman" w:hAnsi="Times New Roman"/>
                <w:color w:val="000000"/>
                <w:spacing w:val="-2"/>
                <w:sz w:val="21"/>
                <w:szCs w:val="21"/>
              </w:rPr>
              <w:t xml:space="preserve">waluacja efektów projektu nastąpi na dwóch poziomach. Projekt ustawy wprowadza obowiązek gmin do przedstawienia wojewodzie, w terminie do 15. dnia miesiąca następującego po kwartale, rozliczenie dotacji w sposób określony na gruncie niniejszej regulacji. Jednocześnie ten sam przepis wprowadza obowiązek wojewodów do przedstawienia ministrowi właściwemu do spraw finansów publicznych zbiorczego rozliczenia dotacji do końca miesiąca następującego po każdym kwartale. Wprowadzenie tego rodzaju obowiązków pozwala na pozyskanie informacji o skuteczności funkcjonowania </w:t>
            </w:r>
            <w:r w:rsidRPr="0066079A">
              <w:rPr>
                <w:rFonts w:ascii="Times New Roman" w:hAnsi="Times New Roman"/>
                <w:spacing w:val="-2"/>
                <w:sz w:val="21"/>
                <w:szCs w:val="21"/>
              </w:rPr>
              <w:t>mechanizmów wprowadzonych na gruncie ustawy oraz poziomu wykorzystywania bonu energetycznego.</w:t>
            </w:r>
          </w:p>
          <w:p w14:paraId="01D07B62" w14:textId="77777777" w:rsidR="00137409" w:rsidRPr="0066079A" w:rsidRDefault="00137409" w:rsidP="00180F9D">
            <w:pPr>
              <w:spacing w:after="120" w:line="240" w:lineRule="auto"/>
              <w:jc w:val="both"/>
              <w:rPr>
                <w:rFonts w:ascii="Times New Roman" w:hAnsi="Times New Roman"/>
                <w:spacing w:val="-2"/>
                <w:sz w:val="21"/>
                <w:szCs w:val="21"/>
              </w:rPr>
            </w:pPr>
            <w:r>
              <w:rPr>
                <w:rFonts w:ascii="Times New Roman" w:hAnsi="Times New Roman"/>
                <w:spacing w:val="-2"/>
                <w:sz w:val="21"/>
                <w:szCs w:val="21"/>
              </w:rPr>
              <w:t xml:space="preserve">W zakresie przepisów dotyczących ciepła: ewaluacja regulacji nastąpi po rozliczeniu wypłaty </w:t>
            </w:r>
            <w:proofErr w:type="spellStart"/>
            <w:r>
              <w:rPr>
                <w:rFonts w:ascii="Times New Roman" w:hAnsi="Times New Roman"/>
                <w:spacing w:val="-2"/>
                <w:sz w:val="21"/>
                <w:szCs w:val="21"/>
              </w:rPr>
              <w:t>wyrównań</w:t>
            </w:r>
            <w:proofErr w:type="spellEnd"/>
            <w:r>
              <w:rPr>
                <w:rFonts w:ascii="Times New Roman" w:hAnsi="Times New Roman"/>
                <w:spacing w:val="-2"/>
                <w:sz w:val="21"/>
                <w:szCs w:val="21"/>
              </w:rPr>
              <w:t xml:space="preserve"> tj. do końca 2025 r. </w:t>
            </w:r>
          </w:p>
          <w:p w14:paraId="206AB16B" w14:textId="49516638" w:rsidR="00137409" w:rsidRPr="0066079A" w:rsidRDefault="00137409" w:rsidP="00180F9D">
            <w:pPr>
              <w:spacing w:after="120" w:line="240" w:lineRule="auto"/>
              <w:jc w:val="both"/>
              <w:rPr>
                <w:rFonts w:ascii="Times New Roman" w:hAnsi="Times New Roman"/>
                <w:color w:val="000000"/>
                <w:spacing w:val="-2"/>
                <w:sz w:val="21"/>
                <w:szCs w:val="21"/>
              </w:rPr>
            </w:pPr>
            <w:r w:rsidRPr="0066079A">
              <w:rPr>
                <w:rFonts w:ascii="Times New Roman" w:hAnsi="Times New Roman"/>
                <w:sz w:val="21"/>
                <w:szCs w:val="21"/>
              </w:rPr>
              <w:t>W zakresie innych zmian: nie dotyczy.</w:t>
            </w:r>
          </w:p>
        </w:tc>
      </w:tr>
      <w:tr w:rsidR="00137409" w:rsidRPr="0066079A" w14:paraId="4B28F241" w14:textId="77777777" w:rsidTr="00A87747">
        <w:trPr>
          <w:gridAfter w:val="1"/>
          <w:wAfter w:w="13" w:type="dxa"/>
          <w:trHeight w:val="142"/>
        </w:trPr>
        <w:tc>
          <w:tcPr>
            <w:tcW w:w="10937" w:type="dxa"/>
            <w:gridSpan w:val="29"/>
            <w:shd w:val="clear" w:color="auto" w:fill="99CCFF"/>
          </w:tcPr>
          <w:p w14:paraId="0476585F" w14:textId="77777777" w:rsidR="00137409" w:rsidRPr="0066079A" w:rsidRDefault="00137409" w:rsidP="00180F9D">
            <w:pPr>
              <w:numPr>
                <w:ilvl w:val="0"/>
                <w:numId w:val="3"/>
              </w:numPr>
              <w:spacing w:before="60" w:after="60" w:line="240" w:lineRule="auto"/>
              <w:ind w:left="318" w:hanging="284"/>
              <w:jc w:val="both"/>
              <w:rPr>
                <w:rFonts w:ascii="Times New Roman" w:hAnsi="Times New Roman"/>
                <w:b/>
                <w:color w:val="000000"/>
                <w:spacing w:val="-2"/>
                <w:sz w:val="21"/>
                <w:szCs w:val="21"/>
              </w:rPr>
            </w:pPr>
            <w:r w:rsidRPr="0066079A">
              <w:rPr>
                <w:rFonts w:ascii="Times New Roman" w:hAnsi="Times New Roman"/>
                <w:b/>
                <w:color w:val="000000"/>
                <w:spacing w:val="-2"/>
                <w:sz w:val="21"/>
                <w:szCs w:val="21"/>
              </w:rPr>
              <w:t xml:space="preserve">Załączniki </w:t>
            </w:r>
            <w:r w:rsidRPr="0066079A">
              <w:rPr>
                <w:rFonts w:ascii="Times New Roman" w:hAnsi="Times New Roman"/>
                <w:b/>
                <w:spacing w:val="-2"/>
                <w:sz w:val="21"/>
                <w:szCs w:val="21"/>
              </w:rPr>
              <w:t>(istotne dokumenty źródłowe, badania, analizy itp.</w:t>
            </w:r>
            <w:r w:rsidRPr="0066079A">
              <w:rPr>
                <w:rFonts w:ascii="Times New Roman" w:hAnsi="Times New Roman"/>
                <w:b/>
                <w:color w:val="000000"/>
                <w:spacing w:val="-2"/>
                <w:sz w:val="21"/>
                <w:szCs w:val="21"/>
              </w:rPr>
              <w:t xml:space="preserve">) </w:t>
            </w:r>
          </w:p>
        </w:tc>
      </w:tr>
      <w:tr w:rsidR="00137409" w:rsidRPr="0066079A" w14:paraId="4673B585" w14:textId="77777777" w:rsidTr="00A87747">
        <w:trPr>
          <w:gridAfter w:val="1"/>
          <w:wAfter w:w="13" w:type="dxa"/>
          <w:trHeight w:val="142"/>
        </w:trPr>
        <w:tc>
          <w:tcPr>
            <w:tcW w:w="10937" w:type="dxa"/>
            <w:gridSpan w:val="29"/>
            <w:shd w:val="clear" w:color="auto" w:fill="FFFFFF"/>
          </w:tcPr>
          <w:p w14:paraId="02D52832" w14:textId="1551138F" w:rsidR="00137409" w:rsidRPr="0066079A" w:rsidRDefault="00180F9D" w:rsidP="00180F9D">
            <w:pPr>
              <w:spacing w:line="240" w:lineRule="auto"/>
              <w:jc w:val="both"/>
              <w:rPr>
                <w:rFonts w:ascii="Times New Roman" w:hAnsi="Times New Roman"/>
                <w:color w:val="000000"/>
                <w:spacing w:val="-2"/>
                <w:sz w:val="21"/>
                <w:szCs w:val="21"/>
              </w:rPr>
            </w:pPr>
            <w:r>
              <w:rPr>
                <w:rFonts w:ascii="Times New Roman" w:hAnsi="Times New Roman"/>
                <w:color w:val="000000"/>
                <w:spacing w:val="-2"/>
                <w:sz w:val="21"/>
                <w:szCs w:val="21"/>
              </w:rPr>
              <w:t>brak</w:t>
            </w:r>
          </w:p>
        </w:tc>
      </w:tr>
    </w:tbl>
    <w:p w14:paraId="6007815D" w14:textId="76F2A168" w:rsidR="006176ED" w:rsidRPr="0066079A" w:rsidRDefault="006176ED" w:rsidP="00180F9D">
      <w:pPr>
        <w:pStyle w:val="Nagwek1"/>
        <w:rPr>
          <w:rFonts w:ascii="Times New Roman" w:hAnsi="Times New Roman" w:cs="Times New Roman"/>
          <w:sz w:val="21"/>
          <w:szCs w:val="21"/>
        </w:rPr>
      </w:pPr>
    </w:p>
    <w:sectPr w:rsidR="006176ED" w:rsidRPr="0066079A" w:rsidSect="007F05ED">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72595" w14:textId="77777777" w:rsidR="007F05ED" w:rsidRDefault="007F05ED" w:rsidP="00044739">
      <w:pPr>
        <w:spacing w:line="240" w:lineRule="auto"/>
      </w:pPr>
      <w:r>
        <w:separator/>
      </w:r>
    </w:p>
  </w:endnote>
  <w:endnote w:type="continuationSeparator" w:id="0">
    <w:p w14:paraId="5E3F5EDE" w14:textId="77777777" w:rsidR="007F05ED" w:rsidRDefault="007F05ED"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59792" w14:textId="77777777" w:rsidR="007F05ED" w:rsidRDefault="007F05ED" w:rsidP="00044739">
      <w:pPr>
        <w:spacing w:line="240" w:lineRule="auto"/>
      </w:pPr>
      <w:r>
        <w:separator/>
      </w:r>
    </w:p>
  </w:footnote>
  <w:footnote w:type="continuationSeparator" w:id="0">
    <w:p w14:paraId="245C704E" w14:textId="77777777" w:rsidR="007F05ED" w:rsidRDefault="007F05ED"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F79"/>
    <w:multiLevelType w:val="hybridMultilevel"/>
    <w:tmpl w:val="5E823C9E"/>
    <w:lvl w:ilvl="0" w:tplc="0415000F">
      <w:start w:val="1"/>
      <w:numFmt w:val="decimal"/>
      <w:lvlText w:val="%1."/>
      <w:lvlJc w:val="left"/>
      <w:pPr>
        <w:ind w:left="777" w:hanging="360"/>
      </w:pPr>
      <w:rPr>
        <w:rFonts w:hint="default"/>
        <w:i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 w15:restartNumberingAfterBreak="0">
    <w:nsid w:val="067204D2"/>
    <w:multiLevelType w:val="hybridMultilevel"/>
    <w:tmpl w:val="14380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F3F62"/>
    <w:multiLevelType w:val="hybridMultilevel"/>
    <w:tmpl w:val="76F4CCF6"/>
    <w:lvl w:ilvl="0" w:tplc="83060E2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363F17"/>
    <w:multiLevelType w:val="hybridMultilevel"/>
    <w:tmpl w:val="C6CC1D28"/>
    <w:lvl w:ilvl="0" w:tplc="932A20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323707"/>
    <w:multiLevelType w:val="hybridMultilevel"/>
    <w:tmpl w:val="91889D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2074A52"/>
    <w:multiLevelType w:val="hybridMultilevel"/>
    <w:tmpl w:val="FA0E9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8" w15:restartNumberingAfterBreak="0">
    <w:nsid w:val="16433C2B"/>
    <w:multiLevelType w:val="hybridMultilevel"/>
    <w:tmpl w:val="D7F43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8342F8"/>
    <w:multiLevelType w:val="hybridMultilevel"/>
    <w:tmpl w:val="E28CBDB8"/>
    <w:lvl w:ilvl="0" w:tplc="52CEFA9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4" w15:restartNumberingAfterBreak="0">
    <w:nsid w:val="240F1C19"/>
    <w:multiLevelType w:val="hybridMultilevel"/>
    <w:tmpl w:val="3E745732"/>
    <w:lvl w:ilvl="0" w:tplc="3F0C29A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1E136F"/>
    <w:multiLevelType w:val="hybridMultilevel"/>
    <w:tmpl w:val="F6246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9"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45FF18BE"/>
    <w:multiLevelType w:val="hybridMultilevel"/>
    <w:tmpl w:val="C5CCA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3" w15:restartNumberingAfterBreak="0">
    <w:nsid w:val="4A8518B5"/>
    <w:multiLevelType w:val="hybridMultilevel"/>
    <w:tmpl w:val="E8D84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791B9C"/>
    <w:multiLevelType w:val="hybridMultilevel"/>
    <w:tmpl w:val="207A7110"/>
    <w:lvl w:ilvl="0" w:tplc="52CEFA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F327D43"/>
    <w:multiLevelType w:val="hybridMultilevel"/>
    <w:tmpl w:val="AF64FC78"/>
    <w:lvl w:ilvl="0" w:tplc="932A20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7"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30"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2" w15:restartNumberingAfterBreak="0">
    <w:nsid w:val="6B7F36A5"/>
    <w:multiLevelType w:val="hybridMultilevel"/>
    <w:tmpl w:val="2B409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4F66F3"/>
    <w:multiLevelType w:val="hybridMultilevel"/>
    <w:tmpl w:val="ABDED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0763409"/>
    <w:multiLevelType w:val="hybridMultilevel"/>
    <w:tmpl w:val="D1646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271C58"/>
    <w:multiLevelType w:val="hybridMultilevel"/>
    <w:tmpl w:val="490EF91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15:restartNumberingAfterBreak="0">
    <w:nsid w:val="72724E9D"/>
    <w:multiLevelType w:val="hybridMultilevel"/>
    <w:tmpl w:val="CDD612F6"/>
    <w:lvl w:ilvl="0" w:tplc="2BB8797A">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8" w15:restartNumberingAfterBreak="0">
    <w:nsid w:val="72D76119"/>
    <w:multiLevelType w:val="hybridMultilevel"/>
    <w:tmpl w:val="696E1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16cid:durableId="1077678698">
    <w:abstractNumId w:val="10"/>
  </w:num>
  <w:num w:numId="2" w16cid:durableId="390468238">
    <w:abstractNumId w:val="0"/>
  </w:num>
  <w:num w:numId="3" w16cid:durableId="134565669">
    <w:abstractNumId w:val="17"/>
  </w:num>
  <w:num w:numId="4" w16cid:durableId="1761173560">
    <w:abstractNumId w:val="30"/>
  </w:num>
  <w:num w:numId="5" w16cid:durableId="1870600462">
    <w:abstractNumId w:val="4"/>
  </w:num>
  <w:num w:numId="6" w16cid:durableId="329672792">
    <w:abstractNumId w:val="15"/>
  </w:num>
  <w:num w:numId="7" w16cid:durableId="1228103144">
    <w:abstractNumId w:val="21"/>
  </w:num>
  <w:num w:numId="8" w16cid:durableId="1159616842">
    <w:abstractNumId w:val="11"/>
  </w:num>
  <w:num w:numId="9" w16cid:durableId="719742333">
    <w:abstractNumId w:val="26"/>
  </w:num>
  <w:num w:numId="10" w16cid:durableId="1867328420">
    <w:abstractNumId w:val="19"/>
  </w:num>
  <w:num w:numId="11" w16cid:durableId="1921058691">
    <w:abstractNumId w:val="22"/>
  </w:num>
  <w:num w:numId="12" w16cid:durableId="490634064">
    <w:abstractNumId w:val="7"/>
  </w:num>
  <w:num w:numId="13" w16cid:durableId="1329746633">
    <w:abstractNumId w:val="18"/>
  </w:num>
  <w:num w:numId="14" w16cid:durableId="1817187173">
    <w:abstractNumId w:val="31"/>
  </w:num>
  <w:num w:numId="15" w16cid:durableId="361638141">
    <w:abstractNumId w:val="27"/>
  </w:num>
  <w:num w:numId="16" w16cid:durableId="1485506448">
    <w:abstractNumId w:val="29"/>
  </w:num>
  <w:num w:numId="17" w16cid:durableId="1247769261">
    <w:abstractNumId w:val="12"/>
  </w:num>
  <w:num w:numId="18" w16cid:durableId="338852601">
    <w:abstractNumId w:val="34"/>
  </w:num>
  <w:num w:numId="19" w16cid:durableId="1904831331">
    <w:abstractNumId w:val="39"/>
  </w:num>
  <w:num w:numId="20" w16cid:durableId="311712997">
    <w:abstractNumId w:val="28"/>
  </w:num>
  <w:num w:numId="21" w16cid:durableId="1176966755">
    <w:abstractNumId w:val="13"/>
  </w:num>
  <w:num w:numId="22" w16cid:durableId="21009829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94531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25751752">
    <w:abstractNumId w:val="16"/>
  </w:num>
  <w:num w:numId="25" w16cid:durableId="361320525">
    <w:abstractNumId w:val="38"/>
  </w:num>
  <w:num w:numId="26" w16cid:durableId="1600023253">
    <w:abstractNumId w:val="35"/>
  </w:num>
  <w:num w:numId="27" w16cid:durableId="1158687843">
    <w:abstractNumId w:val="32"/>
  </w:num>
  <w:num w:numId="28" w16cid:durableId="1014301815">
    <w:abstractNumId w:val="1"/>
  </w:num>
  <w:num w:numId="29" w16cid:durableId="1376852147">
    <w:abstractNumId w:val="23"/>
  </w:num>
  <w:num w:numId="30" w16cid:durableId="808204149">
    <w:abstractNumId w:val="20"/>
  </w:num>
  <w:num w:numId="31" w16cid:durableId="1338539150">
    <w:abstractNumId w:val="8"/>
  </w:num>
  <w:num w:numId="32" w16cid:durableId="719134420">
    <w:abstractNumId w:val="3"/>
  </w:num>
  <w:num w:numId="33" w16cid:durableId="1543177798">
    <w:abstractNumId w:val="25"/>
  </w:num>
  <w:num w:numId="34" w16cid:durableId="676421862">
    <w:abstractNumId w:val="36"/>
  </w:num>
  <w:num w:numId="35" w16cid:durableId="1805543814">
    <w:abstractNumId w:val="2"/>
  </w:num>
  <w:num w:numId="36" w16cid:durableId="895820284">
    <w:abstractNumId w:val="6"/>
  </w:num>
  <w:num w:numId="37" w16cid:durableId="349724126">
    <w:abstractNumId w:val="5"/>
  </w:num>
  <w:num w:numId="38" w16cid:durableId="121123059">
    <w:abstractNumId w:val="9"/>
  </w:num>
  <w:num w:numId="39" w16cid:durableId="1806049052">
    <w:abstractNumId w:val="33"/>
  </w:num>
  <w:num w:numId="40" w16cid:durableId="1597523261">
    <w:abstractNumId w:val="37"/>
  </w:num>
  <w:num w:numId="41" w16cid:durableId="18463590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15EE"/>
    <w:rsid w:val="000022D5"/>
    <w:rsid w:val="00004C6A"/>
    <w:rsid w:val="00012D11"/>
    <w:rsid w:val="00013EB5"/>
    <w:rsid w:val="00020ECF"/>
    <w:rsid w:val="0002175D"/>
    <w:rsid w:val="000228C5"/>
    <w:rsid w:val="00023836"/>
    <w:rsid w:val="000331D3"/>
    <w:rsid w:val="000356A9"/>
    <w:rsid w:val="0004304A"/>
    <w:rsid w:val="00044138"/>
    <w:rsid w:val="00044739"/>
    <w:rsid w:val="00051637"/>
    <w:rsid w:val="00051D1F"/>
    <w:rsid w:val="000522C6"/>
    <w:rsid w:val="00055CCA"/>
    <w:rsid w:val="00056681"/>
    <w:rsid w:val="000648A7"/>
    <w:rsid w:val="0006618B"/>
    <w:rsid w:val="00066FC1"/>
    <w:rsid w:val="000670C0"/>
    <w:rsid w:val="0007101C"/>
    <w:rsid w:val="00071B99"/>
    <w:rsid w:val="000754A5"/>
    <w:rsid w:val="000756E5"/>
    <w:rsid w:val="0007704E"/>
    <w:rsid w:val="00080EC8"/>
    <w:rsid w:val="00091E8E"/>
    <w:rsid w:val="0009267A"/>
    <w:rsid w:val="000944AC"/>
    <w:rsid w:val="00094CB9"/>
    <w:rsid w:val="000956B2"/>
    <w:rsid w:val="000967CB"/>
    <w:rsid w:val="000969E7"/>
    <w:rsid w:val="000A0370"/>
    <w:rsid w:val="000A23DE"/>
    <w:rsid w:val="000A4020"/>
    <w:rsid w:val="000A498B"/>
    <w:rsid w:val="000A6BE1"/>
    <w:rsid w:val="000B1985"/>
    <w:rsid w:val="000B27D4"/>
    <w:rsid w:val="000B54FB"/>
    <w:rsid w:val="000B62BC"/>
    <w:rsid w:val="000C29B0"/>
    <w:rsid w:val="000C76FC"/>
    <w:rsid w:val="000D38FC"/>
    <w:rsid w:val="000D4D90"/>
    <w:rsid w:val="000E2D10"/>
    <w:rsid w:val="000E6792"/>
    <w:rsid w:val="000E6F38"/>
    <w:rsid w:val="000F3204"/>
    <w:rsid w:val="000F537E"/>
    <w:rsid w:val="000F6812"/>
    <w:rsid w:val="000F70AD"/>
    <w:rsid w:val="00101229"/>
    <w:rsid w:val="00101F91"/>
    <w:rsid w:val="0010548B"/>
    <w:rsid w:val="001072D1"/>
    <w:rsid w:val="00107EC1"/>
    <w:rsid w:val="001102D7"/>
    <w:rsid w:val="00117017"/>
    <w:rsid w:val="001176EE"/>
    <w:rsid w:val="00125CAA"/>
    <w:rsid w:val="0012680E"/>
    <w:rsid w:val="00130E8E"/>
    <w:rsid w:val="0013216E"/>
    <w:rsid w:val="00136925"/>
    <w:rsid w:val="00137409"/>
    <w:rsid w:val="001401B5"/>
    <w:rsid w:val="00140AC9"/>
    <w:rsid w:val="001422B9"/>
    <w:rsid w:val="001460D0"/>
    <w:rsid w:val="0014665F"/>
    <w:rsid w:val="00153464"/>
    <w:rsid w:val="001541B3"/>
    <w:rsid w:val="00155B15"/>
    <w:rsid w:val="001625BE"/>
    <w:rsid w:val="001643A4"/>
    <w:rsid w:val="001727BB"/>
    <w:rsid w:val="00173B47"/>
    <w:rsid w:val="00174156"/>
    <w:rsid w:val="00180D25"/>
    <w:rsid w:val="00180F9D"/>
    <w:rsid w:val="00182278"/>
    <w:rsid w:val="0018318D"/>
    <w:rsid w:val="0018440F"/>
    <w:rsid w:val="0018572C"/>
    <w:rsid w:val="00187E79"/>
    <w:rsid w:val="00187F0D"/>
    <w:rsid w:val="001911B9"/>
    <w:rsid w:val="00191DB6"/>
    <w:rsid w:val="00192CC5"/>
    <w:rsid w:val="001956A7"/>
    <w:rsid w:val="001A1051"/>
    <w:rsid w:val="001A118A"/>
    <w:rsid w:val="001A27F4"/>
    <w:rsid w:val="001A2D95"/>
    <w:rsid w:val="001B218A"/>
    <w:rsid w:val="001B2F8A"/>
    <w:rsid w:val="001B3460"/>
    <w:rsid w:val="001B4CA1"/>
    <w:rsid w:val="001B5942"/>
    <w:rsid w:val="001B75D8"/>
    <w:rsid w:val="001C1060"/>
    <w:rsid w:val="001C3C63"/>
    <w:rsid w:val="001C4074"/>
    <w:rsid w:val="001D27AF"/>
    <w:rsid w:val="001D344D"/>
    <w:rsid w:val="001D4732"/>
    <w:rsid w:val="001D4D95"/>
    <w:rsid w:val="001D6A3C"/>
    <w:rsid w:val="001D6D51"/>
    <w:rsid w:val="001D7F53"/>
    <w:rsid w:val="001E23B7"/>
    <w:rsid w:val="001E396D"/>
    <w:rsid w:val="001E57CC"/>
    <w:rsid w:val="001F16E9"/>
    <w:rsid w:val="001F1DAB"/>
    <w:rsid w:val="001F653A"/>
    <w:rsid w:val="001F6979"/>
    <w:rsid w:val="00202765"/>
    <w:rsid w:val="00202BC6"/>
    <w:rsid w:val="00205141"/>
    <w:rsid w:val="0020516B"/>
    <w:rsid w:val="002066BB"/>
    <w:rsid w:val="002109B4"/>
    <w:rsid w:val="00213559"/>
    <w:rsid w:val="00213EFD"/>
    <w:rsid w:val="00215BB8"/>
    <w:rsid w:val="002172F1"/>
    <w:rsid w:val="0021795D"/>
    <w:rsid w:val="00223C7B"/>
    <w:rsid w:val="00224AB1"/>
    <w:rsid w:val="0022687A"/>
    <w:rsid w:val="00230728"/>
    <w:rsid w:val="00233840"/>
    <w:rsid w:val="00234040"/>
    <w:rsid w:val="00235CD2"/>
    <w:rsid w:val="00241049"/>
    <w:rsid w:val="002506C6"/>
    <w:rsid w:val="002523AC"/>
    <w:rsid w:val="00254DED"/>
    <w:rsid w:val="00255619"/>
    <w:rsid w:val="00255DAD"/>
    <w:rsid w:val="00256108"/>
    <w:rsid w:val="002571B0"/>
    <w:rsid w:val="00260F33"/>
    <w:rsid w:val="002613BD"/>
    <w:rsid w:val="002624F1"/>
    <w:rsid w:val="00270C81"/>
    <w:rsid w:val="00271558"/>
    <w:rsid w:val="00274862"/>
    <w:rsid w:val="0027557A"/>
    <w:rsid w:val="002762E4"/>
    <w:rsid w:val="00280760"/>
    <w:rsid w:val="00282D72"/>
    <w:rsid w:val="00283402"/>
    <w:rsid w:val="002901AF"/>
    <w:rsid w:val="00290FD6"/>
    <w:rsid w:val="002914AF"/>
    <w:rsid w:val="00294259"/>
    <w:rsid w:val="0029740C"/>
    <w:rsid w:val="002A16CF"/>
    <w:rsid w:val="002A2403"/>
    <w:rsid w:val="002A25C8"/>
    <w:rsid w:val="002A2C81"/>
    <w:rsid w:val="002A7A8B"/>
    <w:rsid w:val="002B16FF"/>
    <w:rsid w:val="002B2290"/>
    <w:rsid w:val="002B3D1A"/>
    <w:rsid w:val="002C27D0"/>
    <w:rsid w:val="002C2C9B"/>
    <w:rsid w:val="002C7CAA"/>
    <w:rsid w:val="002D17D6"/>
    <w:rsid w:val="002D18D7"/>
    <w:rsid w:val="002D21CE"/>
    <w:rsid w:val="002D230A"/>
    <w:rsid w:val="002E0096"/>
    <w:rsid w:val="002E3DA3"/>
    <w:rsid w:val="002E450F"/>
    <w:rsid w:val="002E6B38"/>
    <w:rsid w:val="002E6D63"/>
    <w:rsid w:val="002E6E2B"/>
    <w:rsid w:val="002F4EAD"/>
    <w:rsid w:val="002F500B"/>
    <w:rsid w:val="00300991"/>
    <w:rsid w:val="00301959"/>
    <w:rsid w:val="00303B29"/>
    <w:rsid w:val="00305B8A"/>
    <w:rsid w:val="00331BF9"/>
    <w:rsid w:val="0033495E"/>
    <w:rsid w:val="00334A79"/>
    <w:rsid w:val="00334D8D"/>
    <w:rsid w:val="003351C6"/>
    <w:rsid w:val="00337345"/>
    <w:rsid w:val="00337DD2"/>
    <w:rsid w:val="003404D1"/>
    <w:rsid w:val="00342951"/>
    <w:rsid w:val="00343779"/>
    <w:rsid w:val="003443FF"/>
    <w:rsid w:val="00344558"/>
    <w:rsid w:val="00345B27"/>
    <w:rsid w:val="0034681C"/>
    <w:rsid w:val="00346ACD"/>
    <w:rsid w:val="00355808"/>
    <w:rsid w:val="00362C7E"/>
    <w:rsid w:val="00363309"/>
    <w:rsid w:val="00363601"/>
    <w:rsid w:val="003728C3"/>
    <w:rsid w:val="00376AC9"/>
    <w:rsid w:val="00381B08"/>
    <w:rsid w:val="00393032"/>
    <w:rsid w:val="00394B69"/>
    <w:rsid w:val="00397078"/>
    <w:rsid w:val="003A6953"/>
    <w:rsid w:val="003B6083"/>
    <w:rsid w:val="003C3838"/>
    <w:rsid w:val="003C5847"/>
    <w:rsid w:val="003D0681"/>
    <w:rsid w:val="003D12F6"/>
    <w:rsid w:val="003D1426"/>
    <w:rsid w:val="003D1881"/>
    <w:rsid w:val="003D3AC8"/>
    <w:rsid w:val="003D5819"/>
    <w:rsid w:val="003E2719"/>
    <w:rsid w:val="003E27EB"/>
    <w:rsid w:val="003E2F4E"/>
    <w:rsid w:val="003E720A"/>
    <w:rsid w:val="003F0A32"/>
    <w:rsid w:val="003F14F8"/>
    <w:rsid w:val="003F62A3"/>
    <w:rsid w:val="004012C3"/>
    <w:rsid w:val="00403E6E"/>
    <w:rsid w:val="00405A06"/>
    <w:rsid w:val="00406965"/>
    <w:rsid w:val="004129B4"/>
    <w:rsid w:val="00414BD3"/>
    <w:rsid w:val="004151E7"/>
    <w:rsid w:val="00417926"/>
    <w:rsid w:val="00417EF0"/>
    <w:rsid w:val="00422181"/>
    <w:rsid w:val="004244A8"/>
    <w:rsid w:val="00425769"/>
    <w:rsid w:val="00425F72"/>
    <w:rsid w:val="00427736"/>
    <w:rsid w:val="00431278"/>
    <w:rsid w:val="0043156B"/>
    <w:rsid w:val="00431C0C"/>
    <w:rsid w:val="004340FE"/>
    <w:rsid w:val="00441787"/>
    <w:rsid w:val="00442ED2"/>
    <w:rsid w:val="00444F2D"/>
    <w:rsid w:val="0044548B"/>
    <w:rsid w:val="00452034"/>
    <w:rsid w:val="00455FA6"/>
    <w:rsid w:val="00456736"/>
    <w:rsid w:val="00456DD8"/>
    <w:rsid w:val="00464E64"/>
    <w:rsid w:val="00464F77"/>
    <w:rsid w:val="00466C70"/>
    <w:rsid w:val="00467AD9"/>
    <w:rsid w:val="004702C9"/>
    <w:rsid w:val="00472E45"/>
    <w:rsid w:val="00473FEA"/>
    <w:rsid w:val="0047579D"/>
    <w:rsid w:val="00480059"/>
    <w:rsid w:val="004824AC"/>
    <w:rsid w:val="00483262"/>
    <w:rsid w:val="0048339F"/>
    <w:rsid w:val="00484107"/>
    <w:rsid w:val="00485CC5"/>
    <w:rsid w:val="0049343F"/>
    <w:rsid w:val="004945F5"/>
    <w:rsid w:val="004964FC"/>
    <w:rsid w:val="004A145E"/>
    <w:rsid w:val="004A1F15"/>
    <w:rsid w:val="004A2235"/>
    <w:rsid w:val="004A2A81"/>
    <w:rsid w:val="004A5AD9"/>
    <w:rsid w:val="004A7BD7"/>
    <w:rsid w:val="004B2778"/>
    <w:rsid w:val="004B5E83"/>
    <w:rsid w:val="004C15C2"/>
    <w:rsid w:val="004C1A11"/>
    <w:rsid w:val="004C269D"/>
    <w:rsid w:val="004C36D8"/>
    <w:rsid w:val="004C6A0C"/>
    <w:rsid w:val="004D0B9A"/>
    <w:rsid w:val="004D1248"/>
    <w:rsid w:val="004D1E3C"/>
    <w:rsid w:val="004D1FB4"/>
    <w:rsid w:val="004D4169"/>
    <w:rsid w:val="004D6E14"/>
    <w:rsid w:val="004E0CCD"/>
    <w:rsid w:val="004E1E0B"/>
    <w:rsid w:val="004E53DE"/>
    <w:rsid w:val="004F4E17"/>
    <w:rsid w:val="0050082F"/>
    <w:rsid w:val="00500C56"/>
    <w:rsid w:val="00501713"/>
    <w:rsid w:val="00506568"/>
    <w:rsid w:val="005070F8"/>
    <w:rsid w:val="0051551B"/>
    <w:rsid w:val="0052015D"/>
    <w:rsid w:val="00520C57"/>
    <w:rsid w:val="00522D94"/>
    <w:rsid w:val="005238FF"/>
    <w:rsid w:val="00533D89"/>
    <w:rsid w:val="00536564"/>
    <w:rsid w:val="0054102F"/>
    <w:rsid w:val="00544597"/>
    <w:rsid w:val="00544FFE"/>
    <w:rsid w:val="005473F5"/>
    <w:rsid w:val="005477E7"/>
    <w:rsid w:val="00551BAD"/>
    <w:rsid w:val="00552794"/>
    <w:rsid w:val="00552909"/>
    <w:rsid w:val="00552960"/>
    <w:rsid w:val="00560FE5"/>
    <w:rsid w:val="00562CF9"/>
    <w:rsid w:val="00563199"/>
    <w:rsid w:val="00564874"/>
    <w:rsid w:val="00567963"/>
    <w:rsid w:val="0057009A"/>
    <w:rsid w:val="00571260"/>
    <w:rsid w:val="0057189C"/>
    <w:rsid w:val="00573FC1"/>
    <w:rsid w:val="005741EE"/>
    <w:rsid w:val="0057668E"/>
    <w:rsid w:val="00577B9D"/>
    <w:rsid w:val="005821E9"/>
    <w:rsid w:val="00595ABE"/>
    <w:rsid w:val="00595E83"/>
    <w:rsid w:val="00596530"/>
    <w:rsid w:val="005967F3"/>
    <w:rsid w:val="005A06DF"/>
    <w:rsid w:val="005A1CC1"/>
    <w:rsid w:val="005A5527"/>
    <w:rsid w:val="005A5AE6"/>
    <w:rsid w:val="005A71A0"/>
    <w:rsid w:val="005B02FD"/>
    <w:rsid w:val="005B1206"/>
    <w:rsid w:val="005B37E8"/>
    <w:rsid w:val="005B4265"/>
    <w:rsid w:val="005C0056"/>
    <w:rsid w:val="005C5463"/>
    <w:rsid w:val="005D61D6"/>
    <w:rsid w:val="005E0D13"/>
    <w:rsid w:val="005E5047"/>
    <w:rsid w:val="005E7205"/>
    <w:rsid w:val="005E7371"/>
    <w:rsid w:val="005F116C"/>
    <w:rsid w:val="005F2131"/>
    <w:rsid w:val="005F4DFD"/>
    <w:rsid w:val="005F5625"/>
    <w:rsid w:val="0060298B"/>
    <w:rsid w:val="006052FC"/>
    <w:rsid w:val="00605EF6"/>
    <w:rsid w:val="00606455"/>
    <w:rsid w:val="00611351"/>
    <w:rsid w:val="00613594"/>
    <w:rsid w:val="00614929"/>
    <w:rsid w:val="00616511"/>
    <w:rsid w:val="006176ED"/>
    <w:rsid w:val="006202F3"/>
    <w:rsid w:val="0062097A"/>
    <w:rsid w:val="00621DA6"/>
    <w:rsid w:val="00623CFE"/>
    <w:rsid w:val="00627221"/>
    <w:rsid w:val="00627EE8"/>
    <w:rsid w:val="006316FA"/>
    <w:rsid w:val="006370D2"/>
    <w:rsid w:val="0064074F"/>
    <w:rsid w:val="00641F55"/>
    <w:rsid w:val="00645972"/>
    <w:rsid w:val="00645E4A"/>
    <w:rsid w:val="00653688"/>
    <w:rsid w:val="00656315"/>
    <w:rsid w:val="0066020C"/>
    <w:rsid w:val="0066079A"/>
    <w:rsid w:val="0066091B"/>
    <w:rsid w:val="0066132E"/>
    <w:rsid w:val="006660E9"/>
    <w:rsid w:val="00667249"/>
    <w:rsid w:val="00667558"/>
    <w:rsid w:val="006677EA"/>
    <w:rsid w:val="00670844"/>
    <w:rsid w:val="00671523"/>
    <w:rsid w:val="006754EF"/>
    <w:rsid w:val="00675E94"/>
    <w:rsid w:val="006768D2"/>
    <w:rsid w:val="00676C8D"/>
    <w:rsid w:val="00676F1F"/>
    <w:rsid w:val="00677381"/>
    <w:rsid w:val="00677414"/>
    <w:rsid w:val="006832CF"/>
    <w:rsid w:val="0068601E"/>
    <w:rsid w:val="00687416"/>
    <w:rsid w:val="0069486B"/>
    <w:rsid w:val="006963E8"/>
    <w:rsid w:val="006973D1"/>
    <w:rsid w:val="006976FF"/>
    <w:rsid w:val="0069786D"/>
    <w:rsid w:val="006A4904"/>
    <w:rsid w:val="006A548F"/>
    <w:rsid w:val="006A700C"/>
    <w:rsid w:val="006A701A"/>
    <w:rsid w:val="006B06FF"/>
    <w:rsid w:val="006B64DC"/>
    <w:rsid w:val="006B6CDF"/>
    <w:rsid w:val="006B7A91"/>
    <w:rsid w:val="006C29CE"/>
    <w:rsid w:val="006C63AB"/>
    <w:rsid w:val="006D46C4"/>
    <w:rsid w:val="006D4704"/>
    <w:rsid w:val="006D5224"/>
    <w:rsid w:val="006D6A2D"/>
    <w:rsid w:val="006D7F6A"/>
    <w:rsid w:val="006E1A33"/>
    <w:rsid w:val="006E1E18"/>
    <w:rsid w:val="006E31CE"/>
    <w:rsid w:val="006E33F5"/>
    <w:rsid w:val="006E34D3"/>
    <w:rsid w:val="006E482D"/>
    <w:rsid w:val="006F1435"/>
    <w:rsid w:val="006F149F"/>
    <w:rsid w:val="006F3480"/>
    <w:rsid w:val="006F78C4"/>
    <w:rsid w:val="007002D7"/>
    <w:rsid w:val="007024B3"/>
    <w:rsid w:val="007031A0"/>
    <w:rsid w:val="00705A29"/>
    <w:rsid w:val="00707498"/>
    <w:rsid w:val="0071110F"/>
    <w:rsid w:val="00711A65"/>
    <w:rsid w:val="00714133"/>
    <w:rsid w:val="00714DA4"/>
    <w:rsid w:val="007158B2"/>
    <w:rsid w:val="00716081"/>
    <w:rsid w:val="00722B48"/>
    <w:rsid w:val="00724164"/>
    <w:rsid w:val="00725DE7"/>
    <w:rsid w:val="0072636A"/>
    <w:rsid w:val="00726B44"/>
    <w:rsid w:val="007318DD"/>
    <w:rsid w:val="00733167"/>
    <w:rsid w:val="00735010"/>
    <w:rsid w:val="007376D0"/>
    <w:rsid w:val="0073797C"/>
    <w:rsid w:val="00740D2C"/>
    <w:rsid w:val="007422EB"/>
    <w:rsid w:val="00744BF9"/>
    <w:rsid w:val="00747524"/>
    <w:rsid w:val="00752623"/>
    <w:rsid w:val="00753118"/>
    <w:rsid w:val="00760F1F"/>
    <w:rsid w:val="007633EC"/>
    <w:rsid w:val="0076423E"/>
    <w:rsid w:val="007646CB"/>
    <w:rsid w:val="0076658F"/>
    <w:rsid w:val="0077040A"/>
    <w:rsid w:val="00772D64"/>
    <w:rsid w:val="007753FC"/>
    <w:rsid w:val="00775F91"/>
    <w:rsid w:val="007820CB"/>
    <w:rsid w:val="00782D04"/>
    <w:rsid w:val="00792609"/>
    <w:rsid w:val="00792887"/>
    <w:rsid w:val="007943E2"/>
    <w:rsid w:val="00794F2C"/>
    <w:rsid w:val="00796460"/>
    <w:rsid w:val="007A06C5"/>
    <w:rsid w:val="007A1058"/>
    <w:rsid w:val="007A17B8"/>
    <w:rsid w:val="007A3BC7"/>
    <w:rsid w:val="007A3DD2"/>
    <w:rsid w:val="007A5AC4"/>
    <w:rsid w:val="007A6321"/>
    <w:rsid w:val="007A66DA"/>
    <w:rsid w:val="007A7866"/>
    <w:rsid w:val="007B0FDD"/>
    <w:rsid w:val="007B4802"/>
    <w:rsid w:val="007B6668"/>
    <w:rsid w:val="007B6B33"/>
    <w:rsid w:val="007B7CD8"/>
    <w:rsid w:val="007C0764"/>
    <w:rsid w:val="007C109F"/>
    <w:rsid w:val="007C122A"/>
    <w:rsid w:val="007C2701"/>
    <w:rsid w:val="007C3E82"/>
    <w:rsid w:val="007D2192"/>
    <w:rsid w:val="007D3F17"/>
    <w:rsid w:val="007E1C91"/>
    <w:rsid w:val="007E5C2C"/>
    <w:rsid w:val="007F0021"/>
    <w:rsid w:val="007F05ED"/>
    <w:rsid w:val="007F2F52"/>
    <w:rsid w:val="00801F71"/>
    <w:rsid w:val="00805F28"/>
    <w:rsid w:val="0080749F"/>
    <w:rsid w:val="00811D46"/>
    <w:rsid w:val="008125B0"/>
    <w:rsid w:val="008144CB"/>
    <w:rsid w:val="00821717"/>
    <w:rsid w:val="00824210"/>
    <w:rsid w:val="008263C0"/>
    <w:rsid w:val="00830132"/>
    <w:rsid w:val="008413F8"/>
    <w:rsid w:val="00841422"/>
    <w:rsid w:val="00841D3B"/>
    <w:rsid w:val="0084314C"/>
    <w:rsid w:val="00843171"/>
    <w:rsid w:val="00846EC3"/>
    <w:rsid w:val="008543D3"/>
    <w:rsid w:val="008575C3"/>
    <w:rsid w:val="00860F4A"/>
    <w:rsid w:val="00863D28"/>
    <w:rsid w:val="008648C3"/>
    <w:rsid w:val="00872B16"/>
    <w:rsid w:val="0087378A"/>
    <w:rsid w:val="008756EB"/>
    <w:rsid w:val="0087685B"/>
    <w:rsid w:val="00880697"/>
    <w:rsid w:val="00880F26"/>
    <w:rsid w:val="00883450"/>
    <w:rsid w:val="008864F6"/>
    <w:rsid w:val="0089089D"/>
    <w:rsid w:val="00891949"/>
    <w:rsid w:val="008934A9"/>
    <w:rsid w:val="00896C2E"/>
    <w:rsid w:val="00896D06"/>
    <w:rsid w:val="008A0D5D"/>
    <w:rsid w:val="008A16A3"/>
    <w:rsid w:val="008A4F0B"/>
    <w:rsid w:val="008A5095"/>
    <w:rsid w:val="008A608F"/>
    <w:rsid w:val="008B1A9A"/>
    <w:rsid w:val="008B4FE6"/>
    <w:rsid w:val="008B4FF4"/>
    <w:rsid w:val="008B6C37"/>
    <w:rsid w:val="008C2F37"/>
    <w:rsid w:val="008C31E9"/>
    <w:rsid w:val="008D18E8"/>
    <w:rsid w:val="008D2EA3"/>
    <w:rsid w:val="008D5EB1"/>
    <w:rsid w:val="008E1634"/>
    <w:rsid w:val="008E18F7"/>
    <w:rsid w:val="008E1E10"/>
    <w:rsid w:val="008E291B"/>
    <w:rsid w:val="008E4F2F"/>
    <w:rsid w:val="008E5ADB"/>
    <w:rsid w:val="008E74B0"/>
    <w:rsid w:val="008F0822"/>
    <w:rsid w:val="008F7342"/>
    <w:rsid w:val="009008A8"/>
    <w:rsid w:val="0090444E"/>
    <w:rsid w:val="009063B0"/>
    <w:rsid w:val="00906EAB"/>
    <w:rsid w:val="00907106"/>
    <w:rsid w:val="009107FD"/>
    <w:rsid w:val="0091137C"/>
    <w:rsid w:val="00911567"/>
    <w:rsid w:val="00913057"/>
    <w:rsid w:val="009173B1"/>
    <w:rsid w:val="00917AAE"/>
    <w:rsid w:val="009251A9"/>
    <w:rsid w:val="009270CC"/>
    <w:rsid w:val="00930699"/>
    <w:rsid w:val="00931F69"/>
    <w:rsid w:val="00934123"/>
    <w:rsid w:val="00941564"/>
    <w:rsid w:val="009427BB"/>
    <w:rsid w:val="00944FC0"/>
    <w:rsid w:val="00946F60"/>
    <w:rsid w:val="00947DCD"/>
    <w:rsid w:val="00950656"/>
    <w:rsid w:val="00955720"/>
    <w:rsid w:val="00955774"/>
    <w:rsid w:val="00955DFC"/>
    <w:rsid w:val="009560B5"/>
    <w:rsid w:val="009703D6"/>
    <w:rsid w:val="0097181B"/>
    <w:rsid w:val="00976DC5"/>
    <w:rsid w:val="00977B94"/>
    <w:rsid w:val="009818C7"/>
    <w:rsid w:val="00982DD4"/>
    <w:rsid w:val="009841E5"/>
    <w:rsid w:val="0098479F"/>
    <w:rsid w:val="00984A8A"/>
    <w:rsid w:val="009857B6"/>
    <w:rsid w:val="00985A8D"/>
    <w:rsid w:val="009864C7"/>
    <w:rsid w:val="00986610"/>
    <w:rsid w:val="009877DC"/>
    <w:rsid w:val="00991F96"/>
    <w:rsid w:val="0099325B"/>
    <w:rsid w:val="00993E2C"/>
    <w:rsid w:val="00996F0A"/>
    <w:rsid w:val="00996F3B"/>
    <w:rsid w:val="0099724B"/>
    <w:rsid w:val="009A1D86"/>
    <w:rsid w:val="009A228E"/>
    <w:rsid w:val="009A3060"/>
    <w:rsid w:val="009A3D08"/>
    <w:rsid w:val="009A52B7"/>
    <w:rsid w:val="009A5E44"/>
    <w:rsid w:val="009B049C"/>
    <w:rsid w:val="009B11C8"/>
    <w:rsid w:val="009B2BCF"/>
    <w:rsid w:val="009B2FF8"/>
    <w:rsid w:val="009B4369"/>
    <w:rsid w:val="009B5BA3"/>
    <w:rsid w:val="009C722E"/>
    <w:rsid w:val="009D0027"/>
    <w:rsid w:val="009D0655"/>
    <w:rsid w:val="009E1E98"/>
    <w:rsid w:val="009E21CE"/>
    <w:rsid w:val="009E3ABE"/>
    <w:rsid w:val="009E3C4B"/>
    <w:rsid w:val="009F0637"/>
    <w:rsid w:val="009F527A"/>
    <w:rsid w:val="009F5CAE"/>
    <w:rsid w:val="009F62A6"/>
    <w:rsid w:val="009F674F"/>
    <w:rsid w:val="009F6D63"/>
    <w:rsid w:val="009F799E"/>
    <w:rsid w:val="00A02020"/>
    <w:rsid w:val="00A02B77"/>
    <w:rsid w:val="00A038A2"/>
    <w:rsid w:val="00A056CB"/>
    <w:rsid w:val="00A06B95"/>
    <w:rsid w:val="00A07A29"/>
    <w:rsid w:val="00A10FF1"/>
    <w:rsid w:val="00A1506B"/>
    <w:rsid w:val="00A152BD"/>
    <w:rsid w:val="00A16124"/>
    <w:rsid w:val="00A17CB2"/>
    <w:rsid w:val="00A226A0"/>
    <w:rsid w:val="00A23191"/>
    <w:rsid w:val="00A319C0"/>
    <w:rsid w:val="00A33560"/>
    <w:rsid w:val="00A33EFD"/>
    <w:rsid w:val="00A364E4"/>
    <w:rsid w:val="00A36F44"/>
    <w:rsid w:val="00A371A5"/>
    <w:rsid w:val="00A45436"/>
    <w:rsid w:val="00A47BDF"/>
    <w:rsid w:val="00A51CD7"/>
    <w:rsid w:val="00A52ADB"/>
    <w:rsid w:val="00A533E8"/>
    <w:rsid w:val="00A542D9"/>
    <w:rsid w:val="00A56E64"/>
    <w:rsid w:val="00A624C3"/>
    <w:rsid w:val="00A65A2A"/>
    <w:rsid w:val="00A65E3F"/>
    <w:rsid w:val="00A66341"/>
    <w:rsid w:val="00A6641C"/>
    <w:rsid w:val="00A767D2"/>
    <w:rsid w:val="00A76C7F"/>
    <w:rsid w:val="00A77616"/>
    <w:rsid w:val="00A805DA"/>
    <w:rsid w:val="00A811AF"/>
    <w:rsid w:val="00A811B4"/>
    <w:rsid w:val="00A87747"/>
    <w:rsid w:val="00A878FB"/>
    <w:rsid w:val="00A87CDE"/>
    <w:rsid w:val="00A92AAB"/>
    <w:rsid w:val="00A92BAF"/>
    <w:rsid w:val="00A94737"/>
    <w:rsid w:val="00A94BA3"/>
    <w:rsid w:val="00A94E89"/>
    <w:rsid w:val="00A96CBA"/>
    <w:rsid w:val="00AA76E3"/>
    <w:rsid w:val="00AA78AA"/>
    <w:rsid w:val="00AB1ACD"/>
    <w:rsid w:val="00AB277F"/>
    <w:rsid w:val="00AB4099"/>
    <w:rsid w:val="00AB449A"/>
    <w:rsid w:val="00AC6960"/>
    <w:rsid w:val="00AD0228"/>
    <w:rsid w:val="00AD14F9"/>
    <w:rsid w:val="00AD35D6"/>
    <w:rsid w:val="00AD58C5"/>
    <w:rsid w:val="00AD7FE4"/>
    <w:rsid w:val="00AE25D2"/>
    <w:rsid w:val="00AE36C4"/>
    <w:rsid w:val="00AE472C"/>
    <w:rsid w:val="00AE5375"/>
    <w:rsid w:val="00AE6CF8"/>
    <w:rsid w:val="00AF4CAC"/>
    <w:rsid w:val="00AF4CC6"/>
    <w:rsid w:val="00B03E0D"/>
    <w:rsid w:val="00B054F8"/>
    <w:rsid w:val="00B128F5"/>
    <w:rsid w:val="00B15D78"/>
    <w:rsid w:val="00B2219A"/>
    <w:rsid w:val="00B328D3"/>
    <w:rsid w:val="00B336F9"/>
    <w:rsid w:val="00B3581B"/>
    <w:rsid w:val="00B36B81"/>
    <w:rsid w:val="00B36FEE"/>
    <w:rsid w:val="00B37C80"/>
    <w:rsid w:val="00B43AC9"/>
    <w:rsid w:val="00B5092B"/>
    <w:rsid w:val="00B5194E"/>
    <w:rsid w:val="00B51AF5"/>
    <w:rsid w:val="00B51FB8"/>
    <w:rsid w:val="00B521A3"/>
    <w:rsid w:val="00B52A7C"/>
    <w:rsid w:val="00B531FC"/>
    <w:rsid w:val="00B55347"/>
    <w:rsid w:val="00B565B1"/>
    <w:rsid w:val="00B57E5E"/>
    <w:rsid w:val="00B61F37"/>
    <w:rsid w:val="00B63393"/>
    <w:rsid w:val="00B644D5"/>
    <w:rsid w:val="00B64A05"/>
    <w:rsid w:val="00B65888"/>
    <w:rsid w:val="00B7770F"/>
    <w:rsid w:val="00B77A89"/>
    <w:rsid w:val="00B77B27"/>
    <w:rsid w:val="00B8134E"/>
    <w:rsid w:val="00B81A51"/>
    <w:rsid w:val="00B81B55"/>
    <w:rsid w:val="00B84613"/>
    <w:rsid w:val="00B858F1"/>
    <w:rsid w:val="00B85ECD"/>
    <w:rsid w:val="00B87AF0"/>
    <w:rsid w:val="00B9037B"/>
    <w:rsid w:val="00B910BD"/>
    <w:rsid w:val="00B93834"/>
    <w:rsid w:val="00B96469"/>
    <w:rsid w:val="00BA0DA2"/>
    <w:rsid w:val="00BA2981"/>
    <w:rsid w:val="00BA42EE"/>
    <w:rsid w:val="00BA48F9"/>
    <w:rsid w:val="00BB0184"/>
    <w:rsid w:val="00BB0DCA"/>
    <w:rsid w:val="00BB2666"/>
    <w:rsid w:val="00BB6B80"/>
    <w:rsid w:val="00BC3773"/>
    <w:rsid w:val="00BC381A"/>
    <w:rsid w:val="00BC4998"/>
    <w:rsid w:val="00BC5DFD"/>
    <w:rsid w:val="00BD014B"/>
    <w:rsid w:val="00BD0962"/>
    <w:rsid w:val="00BD1EED"/>
    <w:rsid w:val="00BE1062"/>
    <w:rsid w:val="00BF0DA2"/>
    <w:rsid w:val="00BF109C"/>
    <w:rsid w:val="00BF34FA"/>
    <w:rsid w:val="00BF3600"/>
    <w:rsid w:val="00BF3701"/>
    <w:rsid w:val="00BF6667"/>
    <w:rsid w:val="00C004B6"/>
    <w:rsid w:val="00C0085E"/>
    <w:rsid w:val="00C01F0E"/>
    <w:rsid w:val="00C047A7"/>
    <w:rsid w:val="00C05DE5"/>
    <w:rsid w:val="00C16551"/>
    <w:rsid w:val="00C23D8C"/>
    <w:rsid w:val="00C2479E"/>
    <w:rsid w:val="00C3046A"/>
    <w:rsid w:val="00C30559"/>
    <w:rsid w:val="00C33027"/>
    <w:rsid w:val="00C37667"/>
    <w:rsid w:val="00C40A87"/>
    <w:rsid w:val="00C435DB"/>
    <w:rsid w:val="00C44D73"/>
    <w:rsid w:val="00C501AF"/>
    <w:rsid w:val="00C50B42"/>
    <w:rsid w:val="00C516FF"/>
    <w:rsid w:val="00C52BFA"/>
    <w:rsid w:val="00C53D1D"/>
    <w:rsid w:val="00C53F26"/>
    <w:rsid w:val="00C540BC"/>
    <w:rsid w:val="00C55143"/>
    <w:rsid w:val="00C64F7D"/>
    <w:rsid w:val="00C66CB2"/>
    <w:rsid w:val="00C67309"/>
    <w:rsid w:val="00C7509D"/>
    <w:rsid w:val="00C7614E"/>
    <w:rsid w:val="00C77BF1"/>
    <w:rsid w:val="00C80D60"/>
    <w:rsid w:val="00C82FBD"/>
    <w:rsid w:val="00C85267"/>
    <w:rsid w:val="00C8721B"/>
    <w:rsid w:val="00C9372C"/>
    <w:rsid w:val="00C93EF2"/>
    <w:rsid w:val="00C9470E"/>
    <w:rsid w:val="00C95CEB"/>
    <w:rsid w:val="00CA0273"/>
    <w:rsid w:val="00CA1054"/>
    <w:rsid w:val="00CA454E"/>
    <w:rsid w:val="00CA63EB"/>
    <w:rsid w:val="00CA69F1"/>
    <w:rsid w:val="00CA7CF2"/>
    <w:rsid w:val="00CA7E4B"/>
    <w:rsid w:val="00CB07E3"/>
    <w:rsid w:val="00CB59AC"/>
    <w:rsid w:val="00CB6991"/>
    <w:rsid w:val="00CC3F3E"/>
    <w:rsid w:val="00CC6194"/>
    <w:rsid w:val="00CC6305"/>
    <w:rsid w:val="00CC78A5"/>
    <w:rsid w:val="00CD0516"/>
    <w:rsid w:val="00CD15DB"/>
    <w:rsid w:val="00CD6DCC"/>
    <w:rsid w:val="00CD756B"/>
    <w:rsid w:val="00CE734F"/>
    <w:rsid w:val="00CF112E"/>
    <w:rsid w:val="00CF161D"/>
    <w:rsid w:val="00CF4501"/>
    <w:rsid w:val="00CF5613"/>
    <w:rsid w:val="00CF5F4F"/>
    <w:rsid w:val="00D0023C"/>
    <w:rsid w:val="00D15566"/>
    <w:rsid w:val="00D218DC"/>
    <w:rsid w:val="00D22BEF"/>
    <w:rsid w:val="00D23B81"/>
    <w:rsid w:val="00D24E56"/>
    <w:rsid w:val="00D31643"/>
    <w:rsid w:val="00D31AEB"/>
    <w:rsid w:val="00D32ECD"/>
    <w:rsid w:val="00D3436D"/>
    <w:rsid w:val="00D358D5"/>
    <w:rsid w:val="00D361E4"/>
    <w:rsid w:val="00D3738C"/>
    <w:rsid w:val="00D42A8F"/>
    <w:rsid w:val="00D439F6"/>
    <w:rsid w:val="00D4570E"/>
    <w:rsid w:val="00D459C6"/>
    <w:rsid w:val="00D50729"/>
    <w:rsid w:val="00D50C19"/>
    <w:rsid w:val="00D5379E"/>
    <w:rsid w:val="00D6048A"/>
    <w:rsid w:val="00D62643"/>
    <w:rsid w:val="00D64C0F"/>
    <w:rsid w:val="00D67557"/>
    <w:rsid w:val="00D72EFE"/>
    <w:rsid w:val="00D75C41"/>
    <w:rsid w:val="00D76227"/>
    <w:rsid w:val="00D77DF1"/>
    <w:rsid w:val="00D86AFF"/>
    <w:rsid w:val="00D93C2B"/>
    <w:rsid w:val="00D9527C"/>
    <w:rsid w:val="00D95A44"/>
    <w:rsid w:val="00D95D16"/>
    <w:rsid w:val="00D97C76"/>
    <w:rsid w:val="00DB02B4"/>
    <w:rsid w:val="00DB538D"/>
    <w:rsid w:val="00DC1BAE"/>
    <w:rsid w:val="00DC1C64"/>
    <w:rsid w:val="00DC275C"/>
    <w:rsid w:val="00DC4B0D"/>
    <w:rsid w:val="00DC7FE1"/>
    <w:rsid w:val="00DD3F3F"/>
    <w:rsid w:val="00DD4936"/>
    <w:rsid w:val="00DD5572"/>
    <w:rsid w:val="00DD62B4"/>
    <w:rsid w:val="00DE4A60"/>
    <w:rsid w:val="00DE5D80"/>
    <w:rsid w:val="00DE7D5A"/>
    <w:rsid w:val="00DF58CD"/>
    <w:rsid w:val="00DF65DE"/>
    <w:rsid w:val="00DF6D58"/>
    <w:rsid w:val="00E00579"/>
    <w:rsid w:val="00E019A5"/>
    <w:rsid w:val="00E02EC8"/>
    <w:rsid w:val="00E037F5"/>
    <w:rsid w:val="00E04ECB"/>
    <w:rsid w:val="00E05A09"/>
    <w:rsid w:val="00E06CA1"/>
    <w:rsid w:val="00E172B8"/>
    <w:rsid w:val="00E17FB4"/>
    <w:rsid w:val="00E2075A"/>
    <w:rsid w:val="00E20B75"/>
    <w:rsid w:val="00E20DE6"/>
    <w:rsid w:val="00E214F2"/>
    <w:rsid w:val="00E2371E"/>
    <w:rsid w:val="00E24BD7"/>
    <w:rsid w:val="00E26523"/>
    <w:rsid w:val="00E26809"/>
    <w:rsid w:val="00E3140F"/>
    <w:rsid w:val="00E3412D"/>
    <w:rsid w:val="00E46E13"/>
    <w:rsid w:val="00E57322"/>
    <w:rsid w:val="00E628CB"/>
    <w:rsid w:val="00E62AD9"/>
    <w:rsid w:val="00E638C8"/>
    <w:rsid w:val="00E6710E"/>
    <w:rsid w:val="00E70CBB"/>
    <w:rsid w:val="00E7509B"/>
    <w:rsid w:val="00E754EC"/>
    <w:rsid w:val="00E761A3"/>
    <w:rsid w:val="00E86590"/>
    <w:rsid w:val="00E907EB"/>
    <w:rsid w:val="00E907FF"/>
    <w:rsid w:val="00E91019"/>
    <w:rsid w:val="00E94043"/>
    <w:rsid w:val="00EA1A1A"/>
    <w:rsid w:val="00EA42D1"/>
    <w:rsid w:val="00EA42EF"/>
    <w:rsid w:val="00EB03BF"/>
    <w:rsid w:val="00EB2DD1"/>
    <w:rsid w:val="00EB397D"/>
    <w:rsid w:val="00EB5E76"/>
    <w:rsid w:val="00EB6B37"/>
    <w:rsid w:val="00EC178B"/>
    <w:rsid w:val="00EC29FE"/>
    <w:rsid w:val="00EC3C70"/>
    <w:rsid w:val="00ED3A3D"/>
    <w:rsid w:val="00ED538A"/>
    <w:rsid w:val="00ED6FBC"/>
    <w:rsid w:val="00EE2F16"/>
    <w:rsid w:val="00EE3861"/>
    <w:rsid w:val="00EE5F47"/>
    <w:rsid w:val="00EE7BA8"/>
    <w:rsid w:val="00EF2E73"/>
    <w:rsid w:val="00EF7683"/>
    <w:rsid w:val="00EF7A2D"/>
    <w:rsid w:val="00F01AFA"/>
    <w:rsid w:val="00F03778"/>
    <w:rsid w:val="00F04F8D"/>
    <w:rsid w:val="00F10AD0"/>
    <w:rsid w:val="00F116CC"/>
    <w:rsid w:val="00F1203F"/>
    <w:rsid w:val="00F12BD1"/>
    <w:rsid w:val="00F14EC4"/>
    <w:rsid w:val="00F15327"/>
    <w:rsid w:val="00F168CF"/>
    <w:rsid w:val="00F207CE"/>
    <w:rsid w:val="00F2555C"/>
    <w:rsid w:val="00F26FC5"/>
    <w:rsid w:val="00F30E08"/>
    <w:rsid w:val="00F319AB"/>
    <w:rsid w:val="00F31DF3"/>
    <w:rsid w:val="00F33AE5"/>
    <w:rsid w:val="00F3597D"/>
    <w:rsid w:val="00F4376D"/>
    <w:rsid w:val="00F45399"/>
    <w:rsid w:val="00F465EA"/>
    <w:rsid w:val="00F473E4"/>
    <w:rsid w:val="00F50A2C"/>
    <w:rsid w:val="00F512EC"/>
    <w:rsid w:val="00F54E7B"/>
    <w:rsid w:val="00F55A88"/>
    <w:rsid w:val="00F608CF"/>
    <w:rsid w:val="00F74005"/>
    <w:rsid w:val="00F7605A"/>
    <w:rsid w:val="00F76884"/>
    <w:rsid w:val="00F819BC"/>
    <w:rsid w:val="00F83D24"/>
    <w:rsid w:val="00F83DD9"/>
    <w:rsid w:val="00F83F40"/>
    <w:rsid w:val="00F94288"/>
    <w:rsid w:val="00FA117A"/>
    <w:rsid w:val="00FB386A"/>
    <w:rsid w:val="00FC0786"/>
    <w:rsid w:val="00FC49EF"/>
    <w:rsid w:val="00FC5E40"/>
    <w:rsid w:val="00FD17FB"/>
    <w:rsid w:val="00FD46E8"/>
    <w:rsid w:val="00FE36E2"/>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4F4D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styleId="Poprawka">
    <w:name w:val="Revision"/>
    <w:hidden/>
    <w:uiPriority w:val="99"/>
    <w:semiHidden/>
    <w:rsid w:val="006E33F5"/>
    <w:rPr>
      <w:sz w:val="22"/>
      <w:szCs w:val="22"/>
      <w:lang w:eastAsia="en-US"/>
    </w:rPr>
  </w:style>
  <w:style w:type="character" w:customStyle="1" w:styleId="Nierozpoznanawzmianka1">
    <w:name w:val="Nierozpoznana wzmianka1"/>
    <w:basedOn w:val="Domylnaczcionkaakapitu"/>
    <w:uiPriority w:val="99"/>
    <w:semiHidden/>
    <w:unhideWhenUsed/>
    <w:rsid w:val="00B128F5"/>
    <w:rPr>
      <w:color w:val="605E5C"/>
      <w:shd w:val="clear" w:color="auto" w:fill="E1DFDD"/>
    </w:rPr>
  </w:style>
  <w:style w:type="paragraph" w:customStyle="1" w:styleId="Default">
    <w:name w:val="Default"/>
    <w:rsid w:val="00B81A51"/>
    <w:pPr>
      <w:autoSpaceDE w:val="0"/>
      <w:autoSpaceDN w:val="0"/>
      <w:adjustRightInd w:val="0"/>
    </w:pPr>
    <w:rPr>
      <w:rFonts w:ascii="Times New Roman" w:hAnsi="Times New Roman"/>
      <w:color w:val="000000"/>
      <w:sz w:val="24"/>
      <w:szCs w:val="24"/>
    </w:rPr>
  </w:style>
  <w:style w:type="paragraph" w:customStyle="1" w:styleId="ZPKTzmpktartykuempunktem">
    <w:name w:val="Z/PKT – zm. pkt artykułem (punktem)"/>
    <w:basedOn w:val="Normalny"/>
    <w:uiPriority w:val="31"/>
    <w:qFormat/>
    <w:rsid w:val="001D7F53"/>
    <w:pPr>
      <w:spacing w:line="360" w:lineRule="auto"/>
      <w:ind w:left="1020" w:hanging="510"/>
      <w:jc w:val="both"/>
    </w:pPr>
    <w:rPr>
      <w:rFonts w:ascii="Times" w:eastAsiaTheme="minorEastAsia" w:hAnsi="Times" w:cs="Arial"/>
      <w:bCs/>
      <w:sz w:val="24"/>
      <w:szCs w:val="20"/>
      <w:lang w:eastAsia="pl-PL"/>
    </w:rPr>
  </w:style>
  <w:style w:type="paragraph" w:customStyle="1" w:styleId="PKTpunkt">
    <w:name w:val="PKT – punkt"/>
    <w:uiPriority w:val="13"/>
    <w:qFormat/>
    <w:rsid w:val="001D7F53"/>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4"/>
    <w:qFormat/>
    <w:rsid w:val="001D7F53"/>
    <w:pPr>
      <w:ind w:left="986" w:hanging="476"/>
    </w:pPr>
  </w:style>
  <w:style w:type="paragraph" w:customStyle="1" w:styleId="ZARTzmartartykuempunktem">
    <w:name w:val="Z/ART(§) – zm. art. (§) artykułem (punktem)"/>
    <w:basedOn w:val="Normalny"/>
    <w:uiPriority w:val="30"/>
    <w:qFormat/>
    <w:rsid w:val="001D7F53"/>
    <w:pPr>
      <w:suppressAutoHyphens/>
      <w:autoSpaceDE w:val="0"/>
      <w:autoSpaceDN w:val="0"/>
      <w:adjustRightInd w:val="0"/>
      <w:spacing w:line="360" w:lineRule="auto"/>
      <w:ind w:left="510" w:firstLine="510"/>
      <w:jc w:val="both"/>
    </w:pPr>
    <w:rPr>
      <w:rFonts w:ascii="Times" w:eastAsiaTheme="minorEastAsia" w:hAnsi="Times" w:cs="Arial"/>
      <w:sz w:val="24"/>
      <w:szCs w:val="20"/>
      <w:lang w:eastAsia="pl-PL"/>
    </w:rPr>
  </w:style>
  <w:style w:type="paragraph" w:customStyle="1" w:styleId="ARTartustawynprozporzdzenia">
    <w:name w:val="ART(§) – art. ustawy (§ np. rozporządzenia)"/>
    <w:uiPriority w:val="11"/>
    <w:qFormat/>
    <w:rsid w:val="00342951"/>
    <w:pPr>
      <w:suppressAutoHyphens/>
      <w:autoSpaceDE w:val="0"/>
      <w:autoSpaceDN w:val="0"/>
      <w:adjustRightInd w:val="0"/>
      <w:spacing w:before="120" w:line="360" w:lineRule="auto"/>
      <w:ind w:firstLine="510"/>
      <w:jc w:val="both"/>
    </w:pPr>
    <w:rPr>
      <w:rFonts w:ascii="Times" w:eastAsiaTheme="minorEastAsia" w:hAnsi="Times"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85344710">
      <w:bodyDiv w:val="1"/>
      <w:marLeft w:val="0"/>
      <w:marRight w:val="0"/>
      <w:marTop w:val="0"/>
      <w:marBottom w:val="0"/>
      <w:divBdr>
        <w:top w:val="none" w:sz="0" w:space="0" w:color="auto"/>
        <w:left w:val="none" w:sz="0" w:space="0" w:color="auto"/>
        <w:bottom w:val="none" w:sz="0" w:space="0" w:color="auto"/>
        <w:right w:val="none" w:sz="0" w:space="0" w:color="auto"/>
      </w:divBdr>
    </w:div>
    <w:div w:id="185755207">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wel.kozlowski@klimat.gov.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9C953B7434341AD45F218FC4F2D10" ma:contentTypeVersion="16" ma:contentTypeDescription="Create a new document." ma:contentTypeScope="" ma:versionID="e7f866deed9bd6e5a61cb85ca0865f14">
  <xsd:schema xmlns:xsd="http://www.w3.org/2001/XMLSchema" xmlns:xs="http://www.w3.org/2001/XMLSchema" xmlns:p="http://schemas.microsoft.com/office/2006/metadata/properties" xmlns:ns3="856845b6-9a68-4489-9940-c831b43fd31e" xmlns:ns4="735e327e-03a8-4293-bc6b-d3dca26c1be8" targetNamespace="http://schemas.microsoft.com/office/2006/metadata/properties" ma:root="true" ma:fieldsID="e47207f3814ff880eaa7a27e3cb82c55" ns3:_="" ns4:_="">
    <xsd:import namespace="856845b6-9a68-4489-9940-c831b43fd31e"/>
    <xsd:import namespace="735e327e-03a8-4293-bc6b-d3dca26c1b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845b6-9a68-4489-9940-c831b43fd3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e327e-03a8-4293-bc6b-d3dca26c1b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735e327e-03a8-4293-bc6b-d3dca26c1be8" xsi:nil="true"/>
  </documentManagement>
</p:properties>
</file>

<file path=customXml/itemProps1.xml><?xml version="1.0" encoding="utf-8"?>
<ds:datastoreItem xmlns:ds="http://schemas.openxmlformats.org/officeDocument/2006/customXml" ds:itemID="{01145435-E7D6-4F05-B77E-D80ACDCF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845b6-9a68-4489-9940-c831b43fd31e"/>
    <ds:schemaRef ds:uri="735e327e-03a8-4293-bc6b-d3dca26c1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032CC9-C1D7-4044-83D0-020F27EEEC77}">
  <ds:schemaRefs>
    <ds:schemaRef ds:uri="http://schemas.openxmlformats.org/officeDocument/2006/bibliography"/>
  </ds:schemaRefs>
</ds:datastoreItem>
</file>

<file path=customXml/itemProps3.xml><?xml version="1.0" encoding="utf-8"?>
<ds:datastoreItem xmlns:ds="http://schemas.openxmlformats.org/officeDocument/2006/customXml" ds:itemID="{86CBFBA1-3FBA-4BD9-B2F4-6557B577B496}">
  <ds:schemaRefs>
    <ds:schemaRef ds:uri="http://schemas.microsoft.com/sharepoint/v3/contenttype/forms"/>
  </ds:schemaRefs>
</ds:datastoreItem>
</file>

<file path=customXml/itemProps4.xml><?xml version="1.0" encoding="utf-8"?>
<ds:datastoreItem xmlns:ds="http://schemas.openxmlformats.org/officeDocument/2006/customXml" ds:itemID="{1FD6A6F4-0965-4A21-89EF-AC61363BAE7A}">
  <ds:schemaRefs>
    <ds:schemaRef ds:uri="http://schemas.microsoft.com/office/2006/metadata/properties"/>
    <ds:schemaRef ds:uri="http://schemas.microsoft.com/office/infopath/2007/PartnerControls"/>
    <ds:schemaRef ds:uri="735e327e-03a8-4293-bc6b-d3dca26c1be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6316</Words>
  <Characters>37901</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2024-04-18T15:33:00Z</dcterms:created>
  <dcterms:modified xsi:type="dcterms:W3CDTF">2024-04-18T15:33:00Z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0x01010098C9C953B7434341AD45F218FC4F2D10</vt:lpwstr>
  </property>
</Properties>
</file>